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 w:cs="方正小标宋简体"/>
          <w:sz w:val="44"/>
          <w:szCs w:val="44"/>
        </w:rPr>
      </w:pPr>
      <w:r>
        <w:rPr>
          <w:rFonts w:hint="eastAsia" w:ascii="华文中宋" w:hAnsi="华文中宋" w:eastAsia="华文中宋" w:cs="方正小标宋简体"/>
          <w:sz w:val="44"/>
          <w:szCs w:val="44"/>
          <w:lang w:val="en-US" w:eastAsia="zh-CN"/>
        </w:rPr>
        <w:t>龙泉镇</w:t>
      </w:r>
      <w:r>
        <w:rPr>
          <w:rFonts w:hint="eastAsia" w:ascii="华文中宋" w:hAnsi="华文中宋" w:eastAsia="华文中宋" w:cs="方正小标宋简体"/>
          <w:sz w:val="44"/>
          <w:szCs w:val="44"/>
        </w:rPr>
        <w:t>社会救助领域基层政务公开标准指引</w:t>
      </w:r>
    </w:p>
    <w:p>
      <w:pPr>
        <w:rPr>
          <w:rFonts w:ascii="仿宋_GB2312" w:hAnsi="仿宋_GB2312" w:cs="仿宋_GB2312"/>
        </w:rPr>
      </w:pP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为进一步提升我县社会救助工作规范化、标准化水平，依据省厅印发的《临汾市社会救助领域基层政务公开标准指引》，制定</w:t>
      </w:r>
      <w:r>
        <w:rPr>
          <w:rFonts w:hint="eastAsia" w:ascii="仿宋_GB2312" w:hAnsi="仿宋_GB2312" w:cs="仿宋_GB2312"/>
          <w:lang w:val="en-US" w:eastAsia="zh-CN"/>
        </w:rPr>
        <w:t>龙泉镇</w:t>
      </w:r>
      <w:r>
        <w:rPr>
          <w:rFonts w:hint="eastAsia" w:ascii="仿宋_GB2312" w:hAnsi="仿宋_GB2312" w:cs="仿宋_GB2312"/>
        </w:rPr>
        <w:t>社会救助领域基层政务公开标准指引如下。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一、总体要求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认真贯彻落实市委、市政府和县委、县政府关于全面推进政务公开的决策部署，严格按照省民政厅和市民政局有关要求，参照本指引，结合我</w:t>
      </w:r>
      <w:r>
        <w:rPr>
          <w:rFonts w:hint="eastAsia" w:ascii="仿宋_GB2312" w:hAnsi="仿宋_GB2312" w:cs="仿宋_GB2312"/>
          <w:lang w:val="en-US" w:eastAsia="zh-CN"/>
        </w:rPr>
        <w:t>镇</w:t>
      </w:r>
      <w:r>
        <w:rPr>
          <w:rFonts w:hint="eastAsia" w:ascii="仿宋_GB2312" w:hAnsi="仿宋_GB2312" w:cs="仿宋_GB2312"/>
        </w:rPr>
        <w:t>实际加快推进基层社会救助政务公开，确保公开内容覆盖权力运行全流程、政务服务全过程。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二、适用范围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本指引适用于乡镇人民政府。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三、公开事项与标准目录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社会救助领域基层政务公开事项包括综合业务、最低生活保障、特困人员救助供养和临时救助四大类，每一事项又根据其业务特点具体分为政策法规文件、办事指南、审核审批信息、监督检查信息等不同的二级事项，并相应地对公开内容（要素）、公开依据、公开时限、公开主体、公开渠道和载体、公开对象、公开方式和公开层级进行明确。（详见附表）</w:t>
      </w:r>
    </w:p>
    <w:p>
      <w:pPr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四、工作流程</w:t>
      </w:r>
    </w:p>
    <w:p>
      <w:pPr>
        <w:ind w:firstLine="632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乡镇人民政府要遵循决策、执行、管理、服务、结果“五公开”要求，按照“应公开、尽公开”原则全面梳理公开事项，可在本指引的基础上细化公开内容，积极探索高效、便捷的公开方式，及时准确公开有关事项，让群众看得到、听得懂、易获取、能监督、好参与，不断提高基层政务公开的针对性、及时性和实效性。</w:t>
      </w: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</w:pPr>
    </w:p>
    <w:p>
      <w:pPr>
        <w:rPr>
          <w:rFonts w:ascii="仿宋_GB2312" w:hAnsi="仿宋_GB2312" w:cs="仿宋_GB231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474" w:bottom="1871" w:left="1588" w:header="851" w:footer="1701" w:gutter="0"/>
          <w:paperSrc w:first="260"/>
          <w:pgNumType w:fmt="numberInDash"/>
          <w:cols w:space="720" w:num="1"/>
          <w:docGrid w:type="linesAndChars" w:linePitch="579" w:charSpace="-849"/>
        </w:sect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附表</w:t>
      </w:r>
    </w:p>
    <w:tbl>
      <w:tblPr>
        <w:tblStyle w:val="7"/>
        <w:tblpPr w:leftFromText="180" w:rightFromText="180" w:vertAnchor="text" w:horzAnchor="page" w:tblpXSpec="center" w:tblpY="846"/>
        <w:tblOverlap w:val="never"/>
        <w:tblW w:w="141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510"/>
        <w:gridCol w:w="19"/>
        <w:gridCol w:w="529"/>
        <w:gridCol w:w="3175"/>
        <w:gridCol w:w="1295"/>
        <w:gridCol w:w="858"/>
        <w:gridCol w:w="853"/>
        <w:gridCol w:w="3259"/>
        <w:gridCol w:w="533"/>
        <w:gridCol w:w="573"/>
        <w:gridCol w:w="563"/>
        <w:gridCol w:w="549"/>
        <w:gridCol w:w="502"/>
        <w:gridCol w:w="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416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 xml:space="preserve"> 龙泉镇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社会救助领域基层政务公开标准目录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综合业务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《社会救助暂行办法》（国务院令第649号）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山西省人民政府关于贯彻落实《社会救助暂行办法》的实施意见（晋政发〔2014〕35号）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社会救助信访通讯地址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社会救助投诉举报电话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相关政策规定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《最低生活保障审核审批办法（试行）》（民发〔2012〕220号）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《山西省最低生活保障审核审批办法（试行）》（晋民发〔2013〕72号）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最低生活保障标准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《国务院关于进一步加强和改进最低生活保障工作的意见》（国发〔2012〕45号）、</w:t>
            </w:r>
            <w:r>
              <w:rPr>
                <w:rStyle w:val="14"/>
                <w:rFonts w:hint="default"/>
                <w:sz w:val="20"/>
                <w:szCs w:val="20"/>
              </w:rPr>
              <w:t>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Style w:val="14"/>
                <w:rFonts w:hint="default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Style w:val="14"/>
                <w:rFonts w:hint="default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ind w:firstLine="196" w:firstLine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低保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对象名单及相关信息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《国务院关于进一步加强和改进最低生活保障工作的意见》（国发〔2012〕46号）、各地相关政策法规文件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0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民政部关于印发《特困人员认定办法》的通知（民发〔2016〕178号）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民政部关于贯彻落实《国务院关于进一步健全特困人员救助供养制度的意见》（民发〔2016〕115号）</w:t>
            </w:r>
            <w:r>
              <w:rPr>
                <w:rStyle w:val="16"/>
                <w:rFonts w:ascii="宋体" w:hAnsi="宋体" w:cs="宋体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山西省人民政府关于进一步健全完善特困人员救助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供养制度的实施意见（晋政发〔2016〕61号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山西省民政厅</w:t>
            </w: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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0"/>
                <w:szCs w:val="20"/>
              </w:rPr>
              <w:t>山西省财政厅关于制定特困人员救助供养指导标准的通知（晋民发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〔2017〕57号）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救助供养标准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初审对象名单及相关信息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终止供养名单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审核结束之日起10个工作日内，公示7个工作日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4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196" w:firstLineChars="100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特困人员名单及相关信息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公开内容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(要素）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主体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公开渠道和载体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Fonts w:hint="eastAsia"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为必选渠道、</w:t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5"/>
                <w:rFonts w:hint="eastAsia"/>
                <w:sz w:val="20"/>
                <w:szCs w:val="20"/>
              </w:rPr>
              <w:t>为自选渠道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3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社会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特定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政策法规文件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《国务院关于全面建立临时救助制度的通知》（国发〔2014〕47号）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3"/>
                <w:rFonts w:hint="default"/>
                <w:sz w:val="20"/>
                <w:szCs w:val="20"/>
              </w:rPr>
              <w:t>《民政部 财政部关于进一步加强和改进临时救助工作的意见》（民发〔2018〕23号）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山西省人民政府关于贯彻落实《社会救助暂行办法》的实施意见（</w:t>
            </w:r>
            <w:r>
              <w:rPr>
                <w:rStyle w:val="13"/>
                <w:rFonts w:hint="default"/>
                <w:sz w:val="20"/>
                <w:szCs w:val="20"/>
              </w:rPr>
              <w:t>晋政发〔2014〕35号）</w:t>
            </w:r>
            <w:r>
              <w:rPr>
                <w:rStyle w:val="13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1"/>
                <w:rFonts w:hint="eastAsia"/>
                <w:sz w:val="20"/>
                <w:szCs w:val="20"/>
              </w:rPr>
              <w:t>山西省民政厅</w:t>
            </w:r>
            <w:r>
              <w:rPr>
                <w:rStyle w:val="11"/>
                <w:sz w:val="20"/>
                <w:szCs w:val="20"/>
              </w:rPr>
              <w:t></w:t>
            </w:r>
            <w:r>
              <w:rPr>
                <w:rStyle w:val="11"/>
                <w:rFonts w:hint="eastAsia"/>
                <w:sz w:val="20"/>
                <w:szCs w:val="20"/>
              </w:rPr>
              <w:t>山西省财政厅关于进一步加强和改进临时救助工作的通知（晋</w:t>
            </w:r>
            <w:r>
              <w:rPr>
                <w:rStyle w:val="13"/>
                <w:rFonts w:hint="default"/>
                <w:sz w:val="20"/>
                <w:szCs w:val="20"/>
              </w:rPr>
              <w:t>民发〔2018〕72号</w:t>
            </w:r>
            <w:r>
              <w:rPr>
                <w:rStyle w:val="11"/>
                <w:rFonts w:hint="eastAsia"/>
                <w:sz w:val="20"/>
                <w:szCs w:val="20"/>
              </w:rPr>
              <w:t>）</w:t>
            </w:r>
            <w:r>
              <w:rPr>
                <w:rStyle w:val="11"/>
                <w:sz w:val="20"/>
                <w:szCs w:val="20"/>
              </w:rPr>
              <w:br w:type="textWrapping"/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信息公开规定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办理事项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办理条件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救助标准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申请材料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办理流程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办理时间、地点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联系方式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制定或获取信息之日起10个工作日内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审核审批信息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316" w:leftChars="100"/>
              <w:jc w:val="left"/>
              <w:textAlignment w:val="center"/>
              <w:rPr>
                <w:rFonts w:ascii="Wingdings" w:hAnsi="Wingdings" w:eastAsia="宋体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 w:eastAsia="宋体" w:cs="Wingdings"/>
                <w:color w:val="000000"/>
                <w:kern w:val="0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支出型临时救助对象名单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救助金额</w:t>
            </w:r>
            <w:r>
              <w:rPr>
                <w:rStyle w:val="11"/>
                <w:sz w:val="20"/>
                <w:szCs w:val="20"/>
              </w:rPr>
              <w:br w:type="textWrapping"/>
            </w:r>
            <w:r>
              <w:rPr>
                <w:rStyle w:val="11"/>
                <w:sz w:val="20"/>
                <w:szCs w:val="20"/>
              </w:rPr>
              <w:t></w:t>
            </w:r>
            <w:r>
              <w:rPr>
                <w:rStyle w:val="14"/>
                <w:rFonts w:hint="default"/>
                <w:sz w:val="20"/>
                <w:szCs w:val="20"/>
              </w:rPr>
              <w:t>救助事由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审核或审批结束之日起10个工作日内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龙泉镇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民政委员会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 w:line="240" w:lineRule="exact"/>
              <w:ind w:left="316" w:leftChars="100"/>
              <w:jc w:val="left"/>
              <w:textAlignment w:val="center"/>
              <w:rPr>
                <w:rFonts w:ascii="Wingdings 2" w:hAnsi="Wingdings 2" w:eastAsia="Wingdings 2" w:cs="Wingdings 2"/>
                <w:color w:val="000000"/>
                <w:sz w:val="20"/>
                <w:szCs w:val="20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政府网站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政府公报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两微一端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发布会/听证会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广播电视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纸质媒体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公开查询点</w:t>
            </w:r>
            <w:r>
              <w:rPr>
                <w:rStyle w:val="15"/>
                <w:sz w:val="20"/>
                <w:szCs w:val="20"/>
              </w:rPr>
              <w:t>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政务服务中心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便民服务站</w:t>
            </w:r>
            <w:r>
              <w:rPr>
                <w:rStyle w:val="15"/>
                <w:sz w:val="20"/>
                <w:szCs w:val="20"/>
              </w:rPr>
              <w:t>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0"/>
                <w:szCs w:val="20"/>
              </w:rPr>
              <w:t></w:t>
            </w:r>
            <w:r>
              <w:rPr>
                <w:rStyle w:val="14"/>
                <w:rFonts w:hint="default"/>
                <w:sz w:val="20"/>
                <w:szCs w:val="20"/>
              </w:rPr>
              <w:t>社区/企事业单位/村公示栏</w:t>
            </w:r>
            <w:r>
              <w:rPr>
                <w:rStyle w:val="14"/>
                <w:rFonts w:hint="default"/>
                <w:sz w:val="20"/>
                <w:szCs w:val="20"/>
              </w:rPr>
              <w:br w:type="textWrapping"/>
            </w:r>
            <w:r>
              <w:rPr>
                <w:rStyle w:val="14"/>
                <w:rFonts w:hint="default"/>
                <w:sz w:val="20"/>
                <w:szCs w:val="20"/>
              </w:rPr>
              <w:t>（电子屏）</w:t>
            </w:r>
            <w:r>
              <w:rPr>
                <w:rStyle w:val="15"/>
                <w:sz w:val="20"/>
                <w:szCs w:val="20"/>
              </w:rPr>
              <w:br w:type="textWrapping"/>
            </w:r>
            <w:r>
              <w:rPr>
                <w:rStyle w:val="15"/>
                <w:sz w:val="20"/>
                <w:szCs w:val="20"/>
              </w:rPr>
              <w:t></w:t>
            </w:r>
            <w:r>
              <w:rPr>
                <w:rStyle w:val="14"/>
                <w:rFonts w:hint="default"/>
                <w:sz w:val="20"/>
                <w:szCs w:val="20"/>
              </w:rPr>
              <w:t>精准推送</w:t>
            </w:r>
            <w:r>
              <w:rPr>
                <w:rStyle w:val="15"/>
                <w:sz w:val="20"/>
                <w:szCs w:val="20"/>
              </w:rPr>
              <w:t></w:t>
            </w:r>
            <w:r>
              <w:rPr>
                <w:rStyle w:val="14"/>
                <w:rFonts w:hint="default"/>
                <w:sz w:val="20"/>
                <w:szCs w:val="20"/>
              </w:rPr>
              <w:t>入户/现场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>
      <w:pPr>
        <w:spacing w:line="580" w:lineRule="exact"/>
        <w:sectPr>
          <w:footerReference r:id="rId8" w:type="first"/>
          <w:footerReference r:id="rId6" w:type="default"/>
          <w:footerReference r:id="rId7" w:type="even"/>
          <w:pgSz w:w="16838" w:h="11906" w:orient="landscape"/>
          <w:pgMar w:top="1417" w:right="1417" w:bottom="1134" w:left="1417" w:header="851" w:footer="850" w:gutter="0"/>
          <w:paperSrc w:first="260"/>
          <w:pgNumType w:fmt="numberInDash"/>
          <w:cols w:space="720" w:num="1"/>
          <w:titlePg/>
          <w:docGrid w:type="linesAndChars" w:linePitch="589" w:charSpace="-849"/>
        </w:sectPr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rPr>
          <w:rFonts w:ascii="仿宋_GB2312" w:hAnsi="仿宋_GB2312" w:cs="仿宋_GB2312"/>
          <w:sz w:val="28"/>
          <w:szCs w:val="28"/>
        </w:rPr>
      </w:pPr>
    </w:p>
    <w:sectPr>
      <w:footerReference r:id="rId11" w:type="first"/>
      <w:footerReference r:id="rId9" w:type="default"/>
      <w:footerReference r:id="rId10" w:type="even"/>
      <w:pgSz w:w="11906" w:h="16838"/>
      <w:pgMar w:top="2098" w:right="1474" w:bottom="1984" w:left="1531" w:header="851" w:footer="850" w:gutter="0"/>
      <w:paperSrc w:first="260"/>
      <w:pgNumType w:fmt="numberInDash"/>
      <w:cols w:space="720" w:num="1"/>
      <w:titlePg/>
      <w:docGrid w:type="linesAndChars" w:linePitch="797" w:charSpace="21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left:394.9pt;margin-top:1.9pt;height:24.45pt;width:37.4pt;mso-position-horizontal-relative:margin;z-index: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9" o:spid="_x0000_s4099" o:spt="202" type="#_x0000_t202" style="position:absolute;left:0pt;margin-left:14.4pt;margin-top:1.65pt;height:28.65pt;width:49.95pt;mso-position-horizontal-relative:margin;z-index: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left:401.35pt;margin-top:223.25pt;height:144pt;width:36.55pt;mso-position-horizontal-relative:margin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60" w:firstLine="360"/>
    </w:pPr>
    <w: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4102" o:spid="_x0000_s4102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100" o:spid="_x0000_s4100" o:spt="202" type="#_x0000_t202" style="position:absolute;left:0pt;margin-top:-40.3pt;height:20.65pt;width:48.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- 8 -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0"/>
  <w:defaultTabStop w:val="420"/>
  <w:evenAndOddHeaders w:val="1"/>
  <w:drawingGridHorizontalSpacing w:val="161"/>
  <w:drawingGridVerticalSpacing w:val="398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97204E"/>
    <w:rsid w:val="000E28ED"/>
    <w:rsid w:val="001D6D73"/>
    <w:rsid w:val="0023664F"/>
    <w:rsid w:val="00250514"/>
    <w:rsid w:val="003F3C60"/>
    <w:rsid w:val="00403D58"/>
    <w:rsid w:val="00414E36"/>
    <w:rsid w:val="004240D1"/>
    <w:rsid w:val="00665E4A"/>
    <w:rsid w:val="008870EA"/>
    <w:rsid w:val="009A4B55"/>
    <w:rsid w:val="00B56E29"/>
    <w:rsid w:val="00BC4F0B"/>
    <w:rsid w:val="00C70E49"/>
    <w:rsid w:val="00D32F6C"/>
    <w:rsid w:val="00E25280"/>
    <w:rsid w:val="00FC3384"/>
    <w:rsid w:val="09A76948"/>
    <w:rsid w:val="0B9E5B6E"/>
    <w:rsid w:val="147A6371"/>
    <w:rsid w:val="15112B5F"/>
    <w:rsid w:val="16266ADA"/>
    <w:rsid w:val="1797204E"/>
    <w:rsid w:val="1CF561A9"/>
    <w:rsid w:val="27FF07BB"/>
    <w:rsid w:val="2C690FD7"/>
    <w:rsid w:val="2CBB4861"/>
    <w:rsid w:val="2D3E41DC"/>
    <w:rsid w:val="2E042DF3"/>
    <w:rsid w:val="2E775E0E"/>
    <w:rsid w:val="2F8E3E8A"/>
    <w:rsid w:val="305A1778"/>
    <w:rsid w:val="31280E75"/>
    <w:rsid w:val="31C23EB2"/>
    <w:rsid w:val="325A518D"/>
    <w:rsid w:val="351A17AE"/>
    <w:rsid w:val="3DF82271"/>
    <w:rsid w:val="443527E6"/>
    <w:rsid w:val="559630F8"/>
    <w:rsid w:val="5BA30162"/>
    <w:rsid w:val="5C441B08"/>
    <w:rsid w:val="66152197"/>
    <w:rsid w:val="71A56415"/>
    <w:rsid w:val="79F00437"/>
    <w:rsid w:val="7BA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91"/>
    <w:basedOn w:val="9"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  <w:style w:type="character" w:customStyle="1" w:styleId="12">
    <w:name w:val="纯文本 Char"/>
    <w:link w:val="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9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6">
    <w:name w:val="font112"/>
    <w:basedOn w:val="9"/>
    <w:qFormat/>
    <w:uiPriority w:val="0"/>
    <w:rPr>
      <w:rFonts w:hint="default" w:ascii="Wingdings" w:hAnsi="Wingdings" w:eastAsia="宋体" w:cs="Wingdings"/>
      <w:color w:val="000000"/>
      <w:sz w:val="20"/>
      <w:szCs w:val="20"/>
      <w:u w:val="none"/>
    </w:rPr>
  </w:style>
  <w:style w:type="paragraph" w:customStyle="1" w:styleId="17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19">
    <w:name w:val="批注框文本 Char"/>
    <w:basedOn w:val="9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9"/>
    <customShpInfo spid="_x0000_s4097"/>
    <customShpInfo spid="_x0000_s4101"/>
    <customShpInfo spid="_x0000_s4102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666</Words>
  <Characters>3800</Characters>
  <Lines>31</Lines>
  <Paragraphs>8</Paragraphs>
  <TotalTime>2</TotalTime>
  <ScaleCrop>false</ScaleCrop>
  <LinksUpToDate>false</LinksUpToDate>
  <CharactersWithSpaces>4458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2020-08-07T07:39:00Z</dcterms:created>
  <dc:creator>微软中国</dc:creator>
  <cp:lastModifiedBy>无 二三</cp:lastModifiedBy>
  <cp:lastPrinted>2020-12-02T03:17:00Z</cp:lastPrinted>
  <dcterms:modified xsi:type="dcterms:W3CDTF">2020-12-17T03:34:01Z</dcterms:modified>
  <dc:title>晋林院党〔2013〕16号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