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line="425" w:lineRule="exact"/>
        <w:ind w:left="175" w:right="0" w:firstLine="0"/>
        <w:jc w:val="left"/>
        <w:rPr>
          <w:rFonts w:hint="eastAsia" w:ascii="方正黑体_GBK" w:eastAsia="方正黑体_GBK"/>
          <w:sz w:val="24"/>
          <w:szCs w:val="24"/>
          <w:lang w:val="en-US" w:eastAsia="zh-CN"/>
        </w:rPr>
      </w:pPr>
      <w:r>
        <w:rPr>
          <w:rFonts w:hint="eastAsia" w:ascii="方正黑体_GBK" w:eastAsia="方正黑体_GBK"/>
          <w:sz w:val="24"/>
          <w:szCs w:val="24"/>
        </w:rPr>
        <w:t>附件</w:t>
      </w:r>
      <w:r>
        <w:rPr>
          <w:rFonts w:hint="eastAsia" w:ascii="方正黑体_GBK" w:eastAsia="方正黑体_GBK"/>
          <w:sz w:val="24"/>
          <w:szCs w:val="24"/>
          <w:lang w:val="en-US" w:eastAsia="zh-CN"/>
        </w:rPr>
        <w:t>1</w:t>
      </w:r>
    </w:p>
    <w:p>
      <w:pPr>
        <w:spacing w:before="0" w:line="393" w:lineRule="exact"/>
        <w:ind w:left="4577" w:right="0" w:firstLine="0"/>
        <w:jc w:val="left"/>
        <w:rPr>
          <w:b/>
          <w:sz w:val="32"/>
        </w:rPr>
      </w:pPr>
      <w:r>
        <w:rPr>
          <w:rFonts w:hint="eastAsia"/>
          <w:b/>
          <w:sz w:val="32"/>
          <w:lang w:val="en-US" w:eastAsia="zh-CN"/>
        </w:rPr>
        <w:t>下李乡</w:t>
      </w:r>
      <w:r>
        <w:rPr>
          <w:b/>
          <w:sz w:val="32"/>
        </w:rPr>
        <w:t>公共资源交易领域基层政务公开标准目录</w:t>
      </w:r>
    </w:p>
    <w:tbl>
      <w:tblPr>
        <w:tblStyle w:val="6"/>
        <w:tblpPr w:leftFromText="180" w:rightFromText="180" w:vertAnchor="text" w:horzAnchor="page" w:tblpX="726" w:tblpY="87"/>
        <w:tblOverlap w:val="never"/>
        <w:tblW w:w="1540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8"/>
        <w:gridCol w:w="540"/>
        <w:gridCol w:w="1246"/>
        <w:gridCol w:w="3152"/>
        <w:gridCol w:w="2612"/>
        <w:gridCol w:w="1366"/>
        <w:gridCol w:w="1472"/>
        <w:gridCol w:w="2795"/>
        <w:gridCol w:w="450"/>
        <w:gridCol w:w="525"/>
        <w:gridCol w:w="390"/>
        <w:gridCol w:w="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trPr>
        <w:tc>
          <w:tcPr>
            <w:tcW w:w="478"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22"/>
              </w:rPr>
            </w:pPr>
          </w:p>
          <w:p>
            <w:pPr>
              <w:pStyle w:val="11"/>
              <w:keepNext w:val="0"/>
              <w:keepLines w:val="0"/>
              <w:suppressLineNumbers w:val="0"/>
              <w:spacing w:beforeAutospacing="0" w:afterAutospacing="0" w:line="235" w:lineRule="auto"/>
              <w:ind w:left="66" w:right="31"/>
              <w:rPr>
                <w:rFonts w:hint="default"/>
                <w:b/>
                <w:sz w:val="18"/>
              </w:rPr>
            </w:pPr>
            <w:r>
              <w:rPr>
                <w:rFonts w:hint="default"/>
                <w:b/>
                <w:sz w:val="18"/>
              </w:rPr>
              <w:t>序号</w:t>
            </w:r>
          </w:p>
        </w:tc>
        <w:tc>
          <w:tcPr>
            <w:tcW w:w="1786" w:type="dxa"/>
            <w:gridSpan w:val="2"/>
          </w:tcPr>
          <w:p>
            <w:pPr>
              <w:pStyle w:val="11"/>
              <w:keepNext w:val="0"/>
              <w:keepLines w:val="0"/>
              <w:suppressLineNumbers w:val="0"/>
              <w:spacing w:before="3" w:beforeAutospacing="0" w:afterAutospacing="0"/>
              <w:rPr>
                <w:rFonts w:hint="default"/>
                <w:b/>
                <w:sz w:val="14"/>
              </w:rPr>
            </w:pPr>
          </w:p>
          <w:p>
            <w:pPr>
              <w:pStyle w:val="11"/>
              <w:keepNext w:val="0"/>
              <w:keepLines w:val="0"/>
              <w:suppressLineNumbers w:val="0"/>
              <w:spacing w:beforeAutospacing="0" w:afterAutospacing="0"/>
              <w:ind w:left="537"/>
              <w:rPr>
                <w:rFonts w:hint="default"/>
                <w:b/>
                <w:sz w:val="18"/>
              </w:rPr>
            </w:pPr>
            <w:r>
              <w:rPr>
                <w:rFonts w:hint="default"/>
                <w:b/>
                <w:sz w:val="18"/>
              </w:rPr>
              <w:t>公开事项</w:t>
            </w:r>
          </w:p>
        </w:tc>
        <w:tc>
          <w:tcPr>
            <w:tcW w:w="315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9" w:beforeAutospacing="0" w:afterAutospacing="0"/>
              <w:rPr>
                <w:rFonts w:hint="default"/>
                <w:b/>
                <w:sz w:val="21"/>
              </w:rPr>
            </w:pPr>
          </w:p>
          <w:p>
            <w:pPr>
              <w:pStyle w:val="11"/>
              <w:keepNext w:val="0"/>
              <w:keepLines w:val="0"/>
              <w:suppressLineNumbers w:val="0"/>
              <w:spacing w:beforeAutospacing="0" w:afterAutospacing="0" w:line="228" w:lineRule="exact"/>
              <w:ind w:left="1198" w:right="1167"/>
              <w:jc w:val="center"/>
              <w:rPr>
                <w:rFonts w:hint="default"/>
                <w:b/>
                <w:sz w:val="18"/>
              </w:rPr>
            </w:pPr>
            <w:r>
              <w:rPr>
                <w:rFonts w:hint="default"/>
                <w:b/>
                <w:sz w:val="18"/>
              </w:rPr>
              <w:t>公开内容</w:t>
            </w:r>
          </w:p>
          <w:p>
            <w:pPr>
              <w:pStyle w:val="11"/>
              <w:keepNext w:val="0"/>
              <w:keepLines w:val="0"/>
              <w:suppressLineNumbers w:val="0"/>
              <w:spacing w:beforeAutospacing="0" w:afterAutospacing="0" w:line="228" w:lineRule="exact"/>
              <w:ind w:left="1199" w:right="1167"/>
              <w:jc w:val="center"/>
              <w:rPr>
                <w:rFonts w:hint="default"/>
                <w:b/>
                <w:sz w:val="18"/>
              </w:rPr>
            </w:pPr>
            <w:r>
              <w:rPr>
                <w:rFonts w:hint="default"/>
                <w:b/>
                <w:sz w:val="18"/>
              </w:rPr>
              <w:t>（</w:t>
            </w:r>
            <w:r>
              <w:rPr>
                <w:rFonts w:hint="default"/>
                <w:b/>
                <w:spacing w:val="1"/>
                <w:sz w:val="18"/>
              </w:rPr>
              <w:t>要素</w:t>
            </w:r>
            <w:r>
              <w:rPr>
                <w:rFonts w:hint="default"/>
                <w:b/>
                <w:sz w:val="18"/>
              </w:rPr>
              <w:t>）</w:t>
            </w:r>
          </w:p>
        </w:tc>
        <w:tc>
          <w:tcPr>
            <w:tcW w:w="261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930" w:right="899"/>
              <w:jc w:val="center"/>
              <w:rPr>
                <w:rFonts w:hint="default"/>
                <w:b/>
                <w:sz w:val="18"/>
              </w:rPr>
            </w:pPr>
            <w:r>
              <w:rPr>
                <w:rFonts w:hint="default"/>
                <w:b/>
                <w:sz w:val="18"/>
              </w:rPr>
              <w:t>公开依据</w:t>
            </w:r>
          </w:p>
        </w:tc>
        <w:tc>
          <w:tcPr>
            <w:tcW w:w="1366"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326"/>
              <w:rPr>
                <w:rFonts w:hint="default"/>
                <w:b/>
                <w:sz w:val="18"/>
              </w:rPr>
            </w:pPr>
            <w:r>
              <w:rPr>
                <w:rFonts w:hint="default"/>
                <w:b/>
                <w:sz w:val="18"/>
              </w:rPr>
              <w:t>公开时限</w:t>
            </w:r>
          </w:p>
        </w:tc>
        <w:tc>
          <w:tcPr>
            <w:tcW w:w="1472"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376"/>
              <w:rPr>
                <w:rFonts w:hint="default"/>
                <w:b/>
                <w:sz w:val="18"/>
              </w:rPr>
            </w:pPr>
            <w:r>
              <w:rPr>
                <w:rFonts w:hint="default"/>
                <w:b/>
                <w:sz w:val="18"/>
              </w:rPr>
              <w:t>公开主体</w:t>
            </w:r>
          </w:p>
        </w:tc>
        <w:tc>
          <w:tcPr>
            <w:tcW w:w="2795" w:type="dxa"/>
            <w:vMerge w:val="restart"/>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61" w:beforeAutospacing="0" w:afterAutospacing="0"/>
              <w:ind w:left="807"/>
              <w:rPr>
                <w:rFonts w:hint="default"/>
                <w:b/>
                <w:sz w:val="18"/>
              </w:rPr>
            </w:pPr>
            <w:r>
              <w:rPr>
                <w:rFonts w:hint="default"/>
                <w:b/>
                <w:sz w:val="18"/>
              </w:rPr>
              <w:t>公开渠道和载体</w:t>
            </w:r>
          </w:p>
        </w:tc>
        <w:tc>
          <w:tcPr>
            <w:tcW w:w="975" w:type="dxa"/>
            <w:gridSpan w:val="2"/>
          </w:tcPr>
          <w:p>
            <w:pPr>
              <w:pStyle w:val="11"/>
              <w:keepNext w:val="0"/>
              <w:keepLines w:val="0"/>
              <w:suppressLineNumbers w:val="0"/>
              <w:spacing w:before="3" w:beforeAutospacing="0" w:afterAutospacing="0"/>
              <w:rPr>
                <w:rFonts w:hint="default"/>
                <w:b/>
                <w:sz w:val="14"/>
              </w:rPr>
            </w:pPr>
          </w:p>
          <w:p>
            <w:pPr>
              <w:pStyle w:val="11"/>
              <w:keepNext w:val="0"/>
              <w:keepLines w:val="0"/>
              <w:suppressLineNumbers w:val="0"/>
              <w:spacing w:beforeAutospacing="0" w:afterAutospacing="0"/>
              <w:ind w:left="172"/>
              <w:rPr>
                <w:rFonts w:hint="default"/>
                <w:b/>
                <w:sz w:val="18"/>
              </w:rPr>
            </w:pPr>
            <w:r>
              <w:rPr>
                <w:rFonts w:hint="default"/>
                <w:b/>
                <w:sz w:val="18"/>
              </w:rPr>
              <w:t>公开对象</w:t>
            </w:r>
          </w:p>
        </w:tc>
        <w:tc>
          <w:tcPr>
            <w:tcW w:w="765" w:type="dxa"/>
            <w:gridSpan w:val="2"/>
            <w:vAlign w:val="center"/>
          </w:tcPr>
          <w:p>
            <w:pPr>
              <w:pStyle w:val="11"/>
              <w:keepNext w:val="0"/>
              <w:keepLines w:val="0"/>
              <w:suppressLineNumbers w:val="0"/>
              <w:spacing w:before="73" w:beforeAutospacing="0" w:afterAutospacing="0" w:line="235" w:lineRule="auto"/>
              <w:ind w:left="286" w:right="82" w:hanging="182"/>
              <w:jc w:val="center"/>
              <w:rPr>
                <w:rFonts w:hint="default"/>
                <w:b/>
                <w:sz w:val="18"/>
              </w:rPr>
            </w:pPr>
            <w:r>
              <w:rPr>
                <w:rFonts w:hint="default"/>
                <w:b/>
                <w:sz w:val="18"/>
              </w:rPr>
              <w:t>公开</w:t>
            </w:r>
          </w:p>
          <w:p>
            <w:pPr>
              <w:pStyle w:val="11"/>
              <w:keepNext w:val="0"/>
              <w:keepLines w:val="0"/>
              <w:suppressLineNumbers w:val="0"/>
              <w:spacing w:before="73" w:beforeAutospacing="0" w:afterAutospacing="0" w:line="235" w:lineRule="auto"/>
              <w:ind w:left="286" w:right="82" w:hanging="182"/>
              <w:jc w:val="center"/>
              <w:rPr>
                <w:rFonts w:hint="default"/>
                <w:b/>
                <w:sz w:val="18"/>
              </w:rPr>
            </w:pPr>
            <w:r>
              <w:rPr>
                <w:rFonts w:hint="default"/>
                <w:b/>
                <w:sz w:val="18"/>
              </w:rPr>
              <w:t>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9" w:hRule="atLeast"/>
        </w:trPr>
        <w:tc>
          <w:tcPr>
            <w:tcW w:w="478" w:type="dxa"/>
            <w:vMerge w:val="continue"/>
            <w:tcBorders>
              <w:top w:val="nil"/>
              <w:bottom w:val="single" w:color="auto" w:sz="4" w:space="0"/>
            </w:tcBorders>
          </w:tcPr>
          <w:p>
            <w:pPr>
              <w:keepNext w:val="0"/>
              <w:keepLines w:val="0"/>
              <w:suppressLineNumbers w:val="0"/>
              <w:spacing w:beforeAutospacing="0" w:afterAutospacing="0"/>
              <w:rPr>
                <w:rFonts w:hint="default"/>
                <w:sz w:val="2"/>
                <w:szCs w:val="2"/>
              </w:rPr>
            </w:pPr>
          </w:p>
        </w:tc>
        <w:tc>
          <w:tcPr>
            <w:tcW w:w="540"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 w:beforeAutospacing="0" w:afterAutospacing="0"/>
              <w:rPr>
                <w:rFonts w:hint="default"/>
                <w:b/>
                <w:sz w:val="17"/>
              </w:rPr>
            </w:pPr>
          </w:p>
          <w:p>
            <w:pPr>
              <w:pStyle w:val="11"/>
              <w:keepNext w:val="0"/>
              <w:keepLines w:val="0"/>
              <w:suppressLineNumbers w:val="0"/>
              <w:spacing w:beforeAutospacing="0" w:afterAutospacing="0" w:line="232" w:lineRule="auto"/>
              <w:ind w:left="95" w:right="60"/>
              <w:rPr>
                <w:rFonts w:hint="default"/>
                <w:b/>
                <w:sz w:val="18"/>
              </w:rPr>
            </w:pPr>
            <w:r>
              <w:rPr>
                <w:rFonts w:hint="default"/>
                <w:b/>
                <w:sz w:val="18"/>
              </w:rPr>
              <w:t>一级事项</w:t>
            </w:r>
          </w:p>
        </w:tc>
        <w:tc>
          <w:tcPr>
            <w:tcW w:w="1246" w:type="dxa"/>
            <w:tcBorders>
              <w:bottom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3" w:beforeAutospacing="0" w:afterAutospacing="0"/>
              <w:rPr>
                <w:rFonts w:hint="default"/>
                <w:b/>
                <w:sz w:val="25"/>
              </w:rPr>
            </w:pPr>
          </w:p>
          <w:p>
            <w:pPr>
              <w:pStyle w:val="11"/>
              <w:keepNext w:val="0"/>
              <w:keepLines w:val="0"/>
              <w:suppressLineNumbers w:val="0"/>
              <w:spacing w:beforeAutospacing="0" w:afterAutospacing="0"/>
              <w:ind w:left="268"/>
              <w:rPr>
                <w:rFonts w:hint="default"/>
                <w:b/>
                <w:sz w:val="18"/>
              </w:rPr>
            </w:pPr>
            <w:r>
              <w:rPr>
                <w:rFonts w:hint="default"/>
                <w:b/>
                <w:sz w:val="18"/>
              </w:rPr>
              <w:t>二级事项</w:t>
            </w:r>
          </w:p>
        </w:tc>
        <w:tc>
          <w:tcPr>
            <w:tcW w:w="3152" w:type="dxa"/>
            <w:vMerge w:val="continue"/>
            <w:tcBorders>
              <w:top w:val="nil"/>
            </w:tcBorders>
          </w:tcPr>
          <w:p>
            <w:pPr>
              <w:keepNext w:val="0"/>
              <w:keepLines w:val="0"/>
              <w:suppressLineNumbers w:val="0"/>
              <w:spacing w:beforeAutospacing="0" w:afterAutospacing="0"/>
              <w:rPr>
                <w:rFonts w:hint="default"/>
                <w:sz w:val="2"/>
                <w:szCs w:val="2"/>
              </w:rPr>
            </w:pPr>
          </w:p>
        </w:tc>
        <w:tc>
          <w:tcPr>
            <w:tcW w:w="2612" w:type="dxa"/>
            <w:vMerge w:val="continue"/>
            <w:tcBorders>
              <w:top w:val="nil"/>
            </w:tcBorders>
          </w:tcPr>
          <w:p>
            <w:pPr>
              <w:keepNext w:val="0"/>
              <w:keepLines w:val="0"/>
              <w:suppressLineNumbers w:val="0"/>
              <w:spacing w:beforeAutospacing="0" w:afterAutospacing="0"/>
              <w:rPr>
                <w:rFonts w:hint="default"/>
                <w:sz w:val="2"/>
                <w:szCs w:val="2"/>
              </w:rPr>
            </w:pPr>
          </w:p>
        </w:tc>
        <w:tc>
          <w:tcPr>
            <w:tcW w:w="1366" w:type="dxa"/>
            <w:vMerge w:val="continue"/>
            <w:tcBorders>
              <w:top w:val="nil"/>
            </w:tcBorders>
          </w:tcPr>
          <w:p>
            <w:pPr>
              <w:keepNext w:val="0"/>
              <w:keepLines w:val="0"/>
              <w:suppressLineNumbers w:val="0"/>
              <w:spacing w:beforeAutospacing="0" w:afterAutospacing="0"/>
              <w:rPr>
                <w:rFonts w:hint="default"/>
                <w:sz w:val="2"/>
                <w:szCs w:val="2"/>
              </w:rPr>
            </w:pPr>
          </w:p>
        </w:tc>
        <w:tc>
          <w:tcPr>
            <w:tcW w:w="1472" w:type="dxa"/>
            <w:vMerge w:val="continue"/>
            <w:tcBorders>
              <w:top w:val="nil"/>
            </w:tcBorders>
          </w:tcPr>
          <w:p>
            <w:pPr>
              <w:keepNext w:val="0"/>
              <w:keepLines w:val="0"/>
              <w:suppressLineNumbers w:val="0"/>
              <w:spacing w:beforeAutospacing="0" w:afterAutospacing="0"/>
              <w:rPr>
                <w:rFonts w:hint="default"/>
                <w:sz w:val="2"/>
                <w:szCs w:val="2"/>
              </w:rPr>
            </w:pPr>
          </w:p>
        </w:tc>
        <w:tc>
          <w:tcPr>
            <w:tcW w:w="2795" w:type="dxa"/>
            <w:vMerge w:val="continue"/>
            <w:tcBorders>
              <w:top w:val="nil"/>
            </w:tcBorders>
          </w:tcPr>
          <w:p>
            <w:pPr>
              <w:keepNext w:val="0"/>
              <w:keepLines w:val="0"/>
              <w:suppressLineNumbers w:val="0"/>
              <w:spacing w:beforeAutospacing="0" w:afterAutospacing="0"/>
              <w:rPr>
                <w:rFonts w:hint="default"/>
                <w:sz w:val="2"/>
                <w:szCs w:val="2"/>
              </w:rPr>
            </w:pPr>
          </w:p>
        </w:tc>
        <w:tc>
          <w:tcPr>
            <w:tcW w:w="450" w:type="dxa"/>
            <w:textDirection w:val="tbLrV"/>
            <w:vAlign w:val="center"/>
          </w:tcPr>
          <w:p>
            <w:pPr>
              <w:pStyle w:val="11"/>
              <w:keepNext w:val="0"/>
              <w:keepLines w:val="0"/>
              <w:suppressLineNumbers w:val="0"/>
              <w:spacing w:beforeAutospacing="0" w:afterAutospacing="0" w:line="232" w:lineRule="auto"/>
              <w:ind w:left="189" w:right="72" w:hanging="91"/>
              <w:jc w:val="center"/>
              <w:rPr>
                <w:rFonts w:hint="eastAsia" w:eastAsia="宋体"/>
                <w:b/>
                <w:sz w:val="18"/>
                <w:lang w:eastAsia="zh-CN"/>
              </w:rPr>
            </w:pPr>
            <w:r>
              <w:rPr>
                <w:rFonts w:hint="eastAsia"/>
                <w:b/>
                <w:sz w:val="18"/>
                <w:lang w:eastAsia="zh-CN"/>
              </w:rPr>
              <w:t>全社会</w:t>
            </w:r>
          </w:p>
        </w:tc>
        <w:tc>
          <w:tcPr>
            <w:tcW w:w="525" w:type="dxa"/>
            <w:vAlign w:val="center"/>
          </w:tcPr>
          <w:p>
            <w:pPr>
              <w:pStyle w:val="11"/>
              <w:keepNext w:val="0"/>
              <w:keepLines w:val="0"/>
              <w:suppressLineNumbers w:val="0"/>
              <w:spacing w:beforeAutospacing="0" w:afterAutospacing="0" w:line="235" w:lineRule="auto"/>
              <w:ind w:right="51"/>
              <w:jc w:val="both"/>
              <w:rPr>
                <w:rFonts w:hint="default"/>
                <w:b/>
                <w:sz w:val="18"/>
              </w:rPr>
            </w:pPr>
            <w:r>
              <w:rPr>
                <w:rFonts w:hint="default"/>
                <w:b/>
                <w:spacing w:val="-9"/>
                <w:sz w:val="18"/>
              </w:rPr>
              <w:t>特定群体</w:t>
            </w:r>
          </w:p>
        </w:tc>
        <w:tc>
          <w:tcPr>
            <w:tcW w:w="390"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1" w:beforeAutospacing="0" w:afterAutospacing="0"/>
              <w:rPr>
                <w:rFonts w:hint="default"/>
                <w:b/>
                <w:sz w:val="17"/>
              </w:rPr>
            </w:pPr>
          </w:p>
          <w:p>
            <w:pPr>
              <w:pStyle w:val="11"/>
              <w:keepNext w:val="0"/>
              <w:keepLines w:val="0"/>
              <w:suppressLineNumbers w:val="0"/>
              <w:spacing w:beforeAutospacing="0" w:afterAutospacing="0" w:line="232" w:lineRule="auto"/>
              <w:ind w:left="106" w:right="83"/>
              <w:rPr>
                <w:rFonts w:hint="default"/>
                <w:b/>
                <w:sz w:val="18"/>
              </w:rPr>
            </w:pPr>
            <w:r>
              <w:rPr>
                <w:rFonts w:hint="default"/>
                <w:b/>
                <w:sz w:val="18"/>
              </w:rPr>
              <w:t>主动</w:t>
            </w:r>
          </w:p>
        </w:tc>
        <w:tc>
          <w:tcPr>
            <w:tcW w:w="375" w:type="dxa"/>
          </w:tcPr>
          <w:p>
            <w:pPr>
              <w:pStyle w:val="11"/>
              <w:keepNext w:val="0"/>
              <w:keepLines w:val="0"/>
              <w:suppressLineNumbers w:val="0"/>
              <w:spacing w:before="3" w:beforeAutospacing="0" w:afterAutospacing="0"/>
              <w:rPr>
                <w:rFonts w:hint="default"/>
                <w:b/>
                <w:sz w:val="26"/>
              </w:rPr>
            </w:pPr>
          </w:p>
          <w:p>
            <w:pPr>
              <w:pStyle w:val="11"/>
              <w:keepNext w:val="0"/>
              <w:keepLines w:val="0"/>
              <w:suppressLineNumbers w:val="0"/>
              <w:spacing w:before="1" w:beforeAutospacing="0" w:afterAutospacing="0" w:line="232" w:lineRule="auto"/>
              <w:ind w:left="91" w:right="67"/>
              <w:jc w:val="both"/>
              <w:rPr>
                <w:rFonts w:hint="default"/>
                <w:b/>
                <w:sz w:val="18"/>
              </w:rPr>
            </w:pPr>
            <w:r>
              <w:rPr>
                <w:rFonts w:hint="default"/>
                <w:b/>
                <w:sz w:val="18"/>
              </w:rPr>
              <w:t>依申请</w:t>
            </w:r>
          </w:p>
        </w:tc>
      </w:tr>
    </w:tbl>
    <w:tbl>
      <w:tblPr>
        <w:tblStyle w:val="6"/>
        <w:tblW w:w="15399" w:type="dxa"/>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
        <w:gridCol w:w="440"/>
        <w:gridCol w:w="570"/>
        <w:gridCol w:w="1200"/>
        <w:gridCol w:w="3195"/>
        <w:gridCol w:w="2610"/>
        <w:gridCol w:w="1365"/>
        <w:gridCol w:w="1485"/>
        <w:gridCol w:w="2760"/>
        <w:gridCol w:w="465"/>
        <w:gridCol w:w="546"/>
        <w:gridCol w:w="392"/>
        <w:gridCol w:w="3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10" w:type="dxa"/>
          <w:trHeight w:val="1944" w:hRule="exact"/>
        </w:trPr>
        <w:tc>
          <w:tcPr>
            <w:tcW w:w="440" w:type="dxa"/>
            <w:tcBorders>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50" w:right="10"/>
              <w:jc w:val="center"/>
              <w:rPr>
                <w:rFonts w:hint="default"/>
                <w:sz w:val="18"/>
              </w:rPr>
            </w:pPr>
            <w:r>
              <w:rPr>
                <w:rFonts w:hint="default"/>
                <w:sz w:val="18"/>
              </w:rPr>
              <w:t>1</w:t>
            </w:r>
          </w:p>
        </w:tc>
        <w:tc>
          <w:tcPr>
            <w:tcW w:w="570" w:type="dxa"/>
            <w:tcBorders>
              <w:top w:val="single" w:color="auto" w:sz="4" w:space="0"/>
              <w:left w:val="single" w:color="auto" w:sz="4" w:space="0"/>
              <w:bottom w:val="single" w:color="auto" w:sz="4" w:space="0"/>
            </w:tcBorders>
            <w:vAlign w:val="center"/>
          </w:tcPr>
          <w:p>
            <w:pPr>
              <w:pStyle w:val="11"/>
              <w:keepNext w:val="0"/>
              <w:keepLines w:val="0"/>
              <w:suppressLineNumbers w:val="0"/>
              <w:spacing w:beforeAutospacing="0" w:afterAutospacing="0"/>
              <w:jc w:val="center"/>
              <w:rPr>
                <w:rFonts w:hint="default" w:ascii="Times New Roman"/>
                <w:sz w:val="18"/>
              </w:rPr>
            </w:pPr>
            <w:r>
              <w:rPr>
                <w:rFonts w:hint="default"/>
                <w:color w:val="auto"/>
                <w:sz w:val="18"/>
              </w:rPr>
              <w:t>政府采购信息</w:t>
            </w:r>
          </w:p>
        </w:tc>
        <w:tc>
          <w:tcPr>
            <w:tcW w:w="1200" w:type="dxa"/>
            <w:tcBorders>
              <w:top w:val="single" w:color="auto" w:sz="4" w:space="0"/>
              <w:bottom w:val="single" w:color="auto" w:sz="4" w:space="0"/>
              <w:right w:val="single" w:color="auto" w:sz="4" w:space="0"/>
            </w:tcBorders>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40"/>
              <w:rPr>
                <w:rFonts w:hint="default"/>
                <w:sz w:val="18"/>
              </w:rPr>
            </w:pPr>
            <w:r>
              <w:rPr>
                <w:rFonts w:hint="default"/>
                <w:sz w:val="18"/>
              </w:rPr>
              <w:t>招标公告</w:t>
            </w:r>
          </w:p>
        </w:tc>
        <w:tc>
          <w:tcPr>
            <w:tcW w:w="3195" w:type="dxa"/>
            <w:tcBorders>
              <w:left w:val="single" w:color="auto" w:sz="4" w:space="0"/>
            </w:tcBorders>
          </w:tcPr>
          <w:p>
            <w:pPr>
              <w:pStyle w:val="11"/>
              <w:keepNext w:val="0"/>
              <w:keepLines w:val="0"/>
              <w:suppressLineNumbers w:val="0"/>
              <w:spacing w:before="138" w:beforeAutospacing="0" w:afterAutospacing="0" w:line="228" w:lineRule="exact"/>
              <w:jc w:val="both"/>
              <w:rPr>
                <w:rFonts w:hint="default"/>
                <w:sz w:val="18"/>
              </w:rPr>
            </w:pPr>
            <w:r>
              <w:rPr>
                <w:rFonts w:hint="default"/>
                <w:sz w:val="18"/>
              </w:rPr>
              <w:t>采购人及其委托的采购代理机构的名称</w:t>
            </w:r>
          </w:p>
          <w:p>
            <w:pPr>
              <w:pStyle w:val="11"/>
              <w:keepNext w:val="0"/>
              <w:keepLines w:val="0"/>
              <w:suppressLineNumbers w:val="0"/>
              <w:spacing w:before="3" w:beforeAutospacing="0" w:afterAutospacing="0" w:line="232" w:lineRule="auto"/>
              <w:ind w:left="37" w:right="32"/>
              <w:jc w:val="both"/>
              <w:rPr>
                <w:rFonts w:hint="default"/>
                <w:sz w:val="18"/>
              </w:rPr>
            </w:pPr>
            <w:r>
              <w:rPr>
                <w:rFonts w:hint="default"/>
                <w:spacing w:val="-1"/>
                <w:sz w:val="18"/>
              </w:rPr>
              <w:t>、地址和联系方法；采购项目的名称、预算金额，设定最高限价的，还应当公开最高限价；采购人的采购需求；投标人的资格要求；获取招标文件的时间、</w:t>
            </w:r>
            <w:r>
              <w:rPr>
                <w:rFonts w:hint="default"/>
                <w:sz w:val="18"/>
              </w:rPr>
              <w:t xml:space="preserve">地点、方式；公告期 </w:t>
            </w:r>
            <w:r>
              <w:rPr>
                <w:rFonts w:hint="default"/>
                <w:spacing w:val="-1"/>
                <w:sz w:val="18"/>
              </w:rPr>
              <w:t xml:space="preserve">限；投标截止时间、开标时间及地点； </w:t>
            </w:r>
            <w:r>
              <w:rPr>
                <w:rFonts w:hint="default"/>
                <w:sz w:val="18"/>
              </w:rPr>
              <w:t>采购项目联系人姓名和电话。</w:t>
            </w:r>
          </w:p>
        </w:tc>
        <w:tc>
          <w:tcPr>
            <w:tcW w:w="2610" w:type="dxa"/>
          </w:tcPr>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）、《山西省人民政府办公厅</w:t>
            </w:r>
            <w:bookmarkStart w:id="0" w:name="_GoBack"/>
            <w:bookmarkEnd w:id="0"/>
            <w:r>
              <w:rPr>
                <w:rFonts w:hint="eastAsia"/>
                <w:sz w:val="18"/>
                <w:lang w:eastAsia="zh-CN"/>
              </w:rPr>
              <w:t>关于印发山西省公共资源配置领域政府信息公开实施方案的通知》（晋政办发〔</w:t>
            </w:r>
            <w:r>
              <w:rPr>
                <w:rFonts w:hint="eastAsia"/>
                <w:sz w:val="18"/>
                <w:lang w:val="en-US" w:eastAsia="zh-CN"/>
              </w:rPr>
              <w:t>2018</w:t>
            </w:r>
            <w:r>
              <w:rPr>
                <w:rFonts w:hint="eastAsia"/>
                <w:sz w:val="18"/>
                <w:lang w:eastAsia="zh-CN"/>
              </w:rPr>
              <w:t>〕</w:t>
            </w:r>
            <w:r>
              <w:rPr>
                <w:rFonts w:hint="eastAsia"/>
                <w:sz w:val="18"/>
                <w:lang w:val="en-US" w:eastAsia="zh-CN"/>
              </w:rPr>
              <w:t>99号</w:t>
            </w:r>
            <w:r>
              <w:rPr>
                <w:rFonts w:hint="eastAsia"/>
                <w:sz w:val="18"/>
                <w:lang w:eastAsia="zh-CN"/>
              </w:rPr>
              <w:t>）</w:t>
            </w: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0" w:beforeAutospacing="0" w:afterAutospacing="0" w:line="223" w:lineRule="exact"/>
              <w:ind w:left="1416"/>
              <w:jc w:val="both"/>
              <w:rPr>
                <w:rFonts w:hint="default"/>
                <w:sz w:val="24"/>
              </w:rPr>
            </w:pPr>
          </w:p>
        </w:tc>
        <w:tc>
          <w:tcPr>
            <w:tcW w:w="136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line="235" w:lineRule="auto"/>
              <w:ind w:left="59" w:right="24"/>
              <w:jc w:val="both"/>
              <w:rPr>
                <w:rFonts w:hint="default"/>
                <w:sz w:val="18"/>
              </w:rPr>
            </w:pPr>
            <w:r>
              <w:rPr>
                <w:rFonts w:hint="default"/>
                <w:sz w:val="18"/>
              </w:rPr>
              <w:t>及时公开，公告期限为5个工作日</w:t>
            </w: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line="223" w:lineRule="exact"/>
              <w:ind w:left="-116"/>
              <w:rPr>
                <w:rFonts w:hint="default"/>
                <w:sz w:val="24"/>
              </w:rPr>
            </w:pPr>
          </w:p>
        </w:tc>
        <w:tc>
          <w:tcPr>
            <w:tcW w:w="1485" w:type="dxa"/>
          </w:tcPr>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Autospacing="0" w:afterAutospacing="0"/>
              <w:jc w:val="both"/>
              <w:rPr>
                <w:rFonts w:hint="default"/>
                <w:b/>
                <w:sz w:val="18"/>
              </w:rPr>
            </w:pPr>
          </w:p>
          <w:p>
            <w:pPr>
              <w:pStyle w:val="11"/>
              <w:keepNext w:val="0"/>
              <w:keepLines w:val="0"/>
              <w:suppressLineNumbers w:val="0"/>
              <w:spacing w:before="12" w:beforeAutospacing="0" w:afterAutospacing="0"/>
              <w:jc w:val="both"/>
              <w:rPr>
                <w:rFonts w:hint="default"/>
                <w:b/>
                <w:sz w:val="18"/>
              </w:rPr>
            </w:pPr>
          </w:p>
          <w:p>
            <w:pPr>
              <w:pStyle w:val="11"/>
              <w:keepNext w:val="0"/>
              <w:keepLines w:val="0"/>
              <w:suppressLineNumbers w:val="0"/>
              <w:spacing w:beforeAutospacing="0" w:afterAutospacing="0" w:line="235" w:lineRule="auto"/>
              <w:ind w:left="66" w:right="123"/>
              <w:jc w:val="both"/>
              <w:rPr>
                <w:rFonts w:hint="default"/>
                <w:sz w:val="18"/>
              </w:rPr>
            </w:pPr>
            <w:r>
              <w:rPr>
                <w:rFonts w:hint="default"/>
                <w:sz w:val="18"/>
              </w:rPr>
              <w:t>采购人或者其委托的采购代理机构</w:t>
            </w:r>
          </w:p>
        </w:tc>
        <w:tc>
          <w:tcPr>
            <w:tcW w:w="2760" w:type="dxa"/>
            <w:vAlign w:val="center"/>
          </w:tcPr>
          <w:p>
            <w:pPr>
              <w:pStyle w:val="11"/>
              <w:keepNext w:val="0"/>
              <w:keepLines w:val="0"/>
              <w:suppressLineNumbers w:val="0"/>
              <w:spacing w:beforeAutospacing="0" w:afterAutospacing="0" w:line="235" w:lineRule="auto"/>
              <w:ind w:left="36" w:right="26"/>
              <w:jc w:val="both"/>
              <w:rPr>
                <w:rFonts w:hint="eastAsia" w:eastAsia="宋体"/>
                <w:sz w:val="18"/>
                <w:lang w:eastAsia="zh-CN"/>
              </w:rPr>
            </w:pPr>
            <w:r>
              <w:rPr>
                <w:rFonts w:hint="eastAsia"/>
                <w:sz w:val="18"/>
                <w:lang w:eastAsia="zh-CN"/>
              </w:rPr>
              <w:t>山西省政府采购网</w:t>
            </w:r>
          </w:p>
          <w:p>
            <w:pPr>
              <w:pStyle w:val="11"/>
              <w:keepNext w:val="0"/>
              <w:keepLines w:val="0"/>
              <w:suppressLineNumbers w:val="0"/>
              <w:spacing w:beforeAutospacing="0" w:afterAutospacing="0" w:line="235" w:lineRule="auto"/>
              <w:ind w:left="36" w:right="26"/>
              <w:jc w:val="both"/>
              <w:rPr>
                <w:rFonts w:hint="default"/>
                <w:sz w:val="18"/>
              </w:rPr>
            </w:pPr>
          </w:p>
          <w:p>
            <w:pPr>
              <w:pStyle w:val="11"/>
              <w:keepNext w:val="0"/>
              <w:keepLines w:val="0"/>
              <w:suppressLineNumbers w:val="0"/>
              <w:spacing w:beforeAutospacing="0" w:afterAutospacing="0" w:line="235" w:lineRule="auto"/>
              <w:ind w:left="36" w:right="26"/>
              <w:jc w:val="both"/>
              <w:rPr>
                <w:rFonts w:hint="default"/>
                <w:sz w:val="18"/>
              </w:rPr>
            </w:pPr>
          </w:p>
        </w:tc>
        <w:tc>
          <w:tcPr>
            <w:tcW w:w="465"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left="189"/>
              <w:rPr>
                <w:rFonts w:hint="default"/>
                <w:sz w:val="18"/>
              </w:rPr>
            </w:pPr>
            <w:r>
              <w:rPr>
                <w:rFonts w:hint="default"/>
                <w:sz w:val="18"/>
              </w:rPr>
              <w:t>√</w:t>
            </w:r>
          </w:p>
        </w:tc>
        <w:tc>
          <w:tcPr>
            <w:tcW w:w="546" w:type="dxa"/>
          </w:tcPr>
          <w:p>
            <w:pPr>
              <w:pStyle w:val="11"/>
              <w:keepNext w:val="0"/>
              <w:keepLines w:val="0"/>
              <w:suppressLineNumbers w:val="0"/>
              <w:spacing w:beforeAutospacing="0" w:afterAutospacing="0"/>
              <w:rPr>
                <w:rFonts w:hint="default" w:ascii="Times New Roman"/>
                <w:sz w:val="18"/>
              </w:rPr>
            </w:pPr>
          </w:p>
        </w:tc>
        <w:tc>
          <w:tcPr>
            <w:tcW w:w="392" w:type="dxa"/>
          </w:tcPr>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Autospacing="0" w:afterAutospacing="0"/>
              <w:rPr>
                <w:rFonts w:hint="default"/>
                <w:b/>
                <w:sz w:val="18"/>
              </w:rPr>
            </w:pPr>
          </w:p>
          <w:p>
            <w:pPr>
              <w:pStyle w:val="11"/>
              <w:keepNext w:val="0"/>
              <w:keepLines w:val="0"/>
              <w:suppressLineNumbers w:val="0"/>
              <w:spacing w:before="4" w:beforeAutospacing="0" w:afterAutospacing="0"/>
              <w:rPr>
                <w:rFonts w:hint="default"/>
                <w:b/>
                <w:sz w:val="18"/>
              </w:rPr>
            </w:pPr>
          </w:p>
          <w:p>
            <w:pPr>
              <w:pStyle w:val="11"/>
              <w:keepNext w:val="0"/>
              <w:keepLines w:val="0"/>
              <w:suppressLineNumbers w:val="0"/>
              <w:spacing w:beforeAutospacing="0" w:afterAutospacing="0"/>
              <w:ind w:right="83"/>
              <w:jc w:val="right"/>
              <w:rPr>
                <w:rFonts w:hint="default"/>
                <w:sz w:val="18"/>
              </w:rPr>
            </w:pPr>
            <w:r>
              <w:rPr>
                <w:rFonts w:hint="default"/>
                <w:sz w:val="18"/>
              </w:rPr>
              <w:t>√</w:t>
            </w:r>
          </w:p>
        </w:tc>
        <w:tc>
          <w:tcPr>
            <w:tcW w:w="361" w:type="dxa"/>
          </w:tcPr>
          <w:p>
            <w:pPr>
              <w:pStyle w:val="11"/>
              <w:keepNext w:val="0"/>
              <w:keepLines w:val="0"/>
              <w:suppressLineNumbers w:val="0"/>
              <w:spacing w:beforeAutospacing="0" w:afterAutospacing="0"/>
              <w:rPr>
                <w:rFonts w:hint="default"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3" w:hRule="atLeast"/>
        </w:trPr>
        <w:tc>
          <w:tcPr>
            <w:tcW w:w="450" w:type="dxa"/>
            <w:gridSpan w:val="2"/>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122" w:beforeAutospacing="0" w:afterAutospacing="0"/>
              <w:ind w:left="50" w:right="10"/>
              <w:jc w:val="center"/>
              <w:rPr>
                <w:rFonts w:hint="default"/>
                <w:color w:val="auto"/>
                <w:sz w:val="18"/>
              </w:rPr>
            </w:pPr>
            <w:r>
              <w:rPr>
                <w:rFonts w:hint="default"/>
                <w:color w:val="auto"/>
                <w:sz w:val="18"/>
              </w:rPr>
              <w:t>19</w:t>
            </w:r>
          </w:p>
        </w:tc>
        <w:tc>
          <w:tcPr>
            <w:tcW w:w="570" w:type="dxa"/>
            <w:vMerge w:val="restart"/>
            <w:tcBorders>
              <w:top w:val="single" w:color="auto" w:sz="4" w:space="0"/>
              <w:left w:val="single" w:color="auto" w:sz="4" w:space="0"/>
              <w:bottom w:val="nil"/>
            </w:tcBorders>
            <w:vAlign w:val="center"/>
          </w:tcPr>
          <w:p>
            <w:pPr>
              <w:pStyle w:val="11"/>
              <w:keepNext w:val="0"/>
              <w:keepLines w:val="0"/>
              <w:suppressLineNumbers w:val="0"/>
              <w:spacing w:beforeAutospacing="0" w:afterAutospacing="0" w:line="235" w:lineRule="auto"/>
              <w:ind w:left="97" w:right="60"/>
              <w:jc w:val="both"/>
              <w:rPr>
                <w:rFonts w:hint="default"/>
                <w:color w:val="auto"/>
                <w:sz w:val="18"/>
              </w:rPr>
            </w:pPr>
            <w:r>
              <w:rPr>
                <w:rFonts w:hint="default"/>
                <w:color w:val="auto"/>
                <w:sz w:val="18"/>
              </w:rPr>
              <w:t>政府采购信息</w:t>
            </w:r>
          </w:p>
        </w:tc>
        <w:tc>
          <w:tcPr>
            <w:tcW w:w="1200" w:type="dxa"/>
            <w:tcBorders>
              <w:top w:val="single" w:color="auto" w:sz="4" w:space="0"/>
              <w:right w:val="single" w:color="auto" w:sz="4" w:space="0"/>
            </w:tcBorders>
            <w:vAlign w:val="center"/>
          </w:tcPr>
          <w:p>
            <w:pPr>
              <w:pStyle w:val="11"/>
              <w:keepNext w:val="0"/>
              <w:keepLines w:val="0"/>
              <w:suppressLineNumbers w:val="0"/>
              <w:spacing w:before="106" w:beforeAutospacing="0" w:afterAutospacing="0" w:line="235" w:lineRule="auto"/>
              <w:ind w:left="40" w:right="103"/>
              <w:jc w:val="center"/>
              <w:rPr>
                <w:rFonts w:hint="default"/>
                <w:color w:val="auto"/>
                <w:sz w:val="18"/>
              </w:rPr>
            </w:pPr>
            <w:r>
              <w:rPr>
                <w:rFonts w:hint="default"/>
                <w:color w:val="auto"/>
                <w:sz w:val="18"/>
              </w:rPr>
              <w:t>协议供货和定点采购的具体成交记录</w:t>
            </w:r>
          </w:p>
        </w:tc>
        <w:tc>
          <w:tcPr>
            <w:tcW w:w="3195" w:type="dxa"/>
            <w:tcBorders>
              <w:left w:val="single" w:color="auto" w:sz="4" w:space="0"/>
            </w:tcBorders>
            <w:vAlign w:val="center"/>
          </w:tcPr>
          <w:p>
            <w:pPr>
              <w:pStyle w:val="11"/>
              <w:keepNext w:val="0"/>
              <w:keepLines w:val="0"/>
              <w:suppressLineNumbers w:val="0"/>
              <w:spacing w:beforeAutospacing="0" w:afterAutospacing="0" w:line="232" w:lineRule="auto"/>
              <w:ind w:left="37" w:right="32"/>
              <w:jc w:val="center"/>
              <w:rPr>
                <w:rFonts w:hint="default"/>
                <w:color w:val="auto"/>
                <w:sz w:val="18"/>
              </w:rPr>
            </w:pPr>
            <w:r>
              <w:rPr>
                <w:rFonts w:hint="default"/>
                <w:color w:val="auto"/>
                <w:sz w:val="18"/>
              </w:rPr>
              <w:t>采购人和成交供应商的名称、成交金额以及成交标的的名称、规格型号、数量</w:t>
            </w:r>
          </w:p>
          <w:p>
            <w:pPr>
              <w:pStyle w:val="11"/>
              <w:keepNext w:val="0"/>
              <w:keepLines w:val="0"/>
              <w:suppressLineNumbers w:val="0"/>
              <w:spacing w:beforeAutospacing="0" w:afterAutospacing="0" w:line="235" w:lineRule="auto"/>
              <w:ind w:left="37" w:right="32"/>
              <w:jc w:val="center"/>
              <w:rPr>
                <w:rFonts w:hint="default"/>
                <w:color w:val="auto"/>
                <w:sz w:val="18"/>
              </w:rPr>
            </w:pPr>
            <w:r>
              <w:rPr>
                <w:rFonts w:hint="default"/>
                <w:color w:val="auto"/>
                <w:sz w:val="18"/>
              </w:rPr>
              <w:t>、单价等。电子卖场、电子商城、网上超市等的具体成交记录，也应当予以公开。</w:t>
            </w:r>
          </w:p>
        </w:tc>
        <w:tc>
          <w:tcPr>
            <w:tcW w:w="2610" w:type="dxa"/>
            <w:vAlign w:val="center"/>
          </w:tcPr>
          <w:p>
            <w:pPr>
              <w:pStyle w:val="11"/>
              <w:keepNext w:val="0"/>
              <w:keepLines w:val="0"/>
              <w:suppressLineNumbers w:val="0"/>
              <w:spacing w:before="106" w:beforeAutospacing="0" w:afterAutospacing="0" w:line="235" w:lineRule="auto"/>
              <w:ind w:left="36" w:right="33"/>
              <w:jc w:val="center"/>
              <w:rPr>
                <w:rFonts w:hint="default"/>
                <w:color w:val="auto"/>
                <w:sz w:val="18"/>
              </w:rPr>
            </w:pPr>
            <w:r>
              <w:rPr>
                <w:rFonts w:hint="default"/>
                <w:color w:val="auto"/>
                <w:sz w:val="18"/>
              </w:rPr>
              <w:t>《关于进一步做好政府采购信息公开工作有关事项的通知》(财库〔2017〕86号)</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p>
        </w:tc>
        <w:tc>
          <w:tcPr>
            <w:tcW w:w="1365" w:type="dxa"/>
            <w:vAlign w:val="center"/>
          </w:tcPr>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122" w:beforeAutospacing="0" w:afterAutospacing="0"/>
              <w:ind w:left="328"/>
              <w:jc w:val="center"/>
              <w:rPr>
                <w:rFonts w:hint="default"/>
                <w:color w:val="auto"/>
                <w:sz w:val="18"/>
              </w:rPr>
            </w:pPr>
            <w:r>
              <w:rPr>
                <w:rFonts w:hint="default"/>
                <w:color w:val="auto"/>
                <w:sz w:val="18"/>
              </w:rPr>
              <w:t>及时公开</w:t>
            </w:r>
          </w:p>
        </w:tc>
        <w:tc>
          <w:tcPr>
            <w:tcW w:w="1485" w:type="dxa"/>
            <w:vAlign w:val="center"/>
          </w:tcPr>
          <w:p>
            <w:pPr>
              <w:pStyle w:val="11"/>
              <w:keepNext w:val="0"/>
              <w:keepLines w:val="0"/>
              <w:suppressLineNumbers w:val="0"/>
              <w:spacing w:before="122" w:beforeAutospacing="0" w:afterAutospacing="0"/>
              <w:ind w:left="35"/>
              <w:jc w:val="center"/>
              <w:rPr>
                <w:rFonts w:hint="default"/>
                <w:color w:val="auto"/>
                <w:sz w:val="18"/>
              </w:rPr>
            </w:pPr>
            <w:r>
              <w:rPr>
                <w:rFonts w:hint="default"/>
                <w:color w:val="auto"/>
                <w:sz w:val="18"/>
              </w:rPr>
              <w:t>采购人或者其委托的采购代理机构</w:t>
            </w:r>
            <w:r>
              <w:rPr>
                <w:rFonts w:hint="eastAsia"/>
                <w:color w:val="auto"/>
                <w:sz w:val="18"/>
                <w:lang w:eastAsia="zh-CN"/>
              </w:rPr>
              <w:t>或者</w:t>
            </w:r>
            <w:r>
              <w:rPr>
                <w:rFonts w:hint="default"/>
                <w:color w:val="auto"/>
                <w:sz w:val="18"/>
              </w:rPr>
              <w:t>集中采购机构</w:t>
            </w:r>
          </w:p>
        </w:tc>
        <w:tc>
          <w:tcPr>
            <w:tcW w:w="2760" w:type="dxa"/>
            <w:vAlign w:val="center"/>
          </w:tcPr>
          <w:p>
            <w:pPr>
              <w:pStyle w:val="11"/>
              <w:keepNext w:val="0"/>
              <w:keepLines w:val="0"/>
              <w:suppressLineNumbers w:val="0"/>
              <w:spacing w:beforeAutospacing="0" w:afterAutospacing="0" w:line="227" w:lineRule="exact"/>
              <w:ind w:left="65"/>
              <w:jc w:val="center"/>
              <w:rPr>
                <w:rFonts w:hint="eastAsia"/>
                <w:sz w:val="18"/>
                <w:lang w:val="en-US" w:eastAsia="zh-CN"/>
              </w:rPr>
            </w:pPr>
            <w:r>
              <w:rPr>
                <w:rFonts w:hint="eastAsia"/>
                <w:sz w:val="18"/>
                <w:lang w:val="en-US" w:eastAsia="zh-CN"/>
              </w:rPr>
              <w:t>全国公共资源交易平台（山西省</w:t>
            </w:r>
            <w:r>
              <w:rPr>
                <w:rFonts w:hint="eastAsia" w:ascii="宋体" w:hAnsi="宋体" w:eastAsia="宋体" w:cs="宋体"/>
                <w:sz w:val="18"/>
                <w:lang w:val="en-US" w:eastAsia="zh-CN"/>
              </w:rPr>
              <w:t>·</w:t>
            </w:r>
            <w:r>
              <w:rPr>
                <w:rFonts w:hint="eastAsia" w:cs="宋体"/>
                <w:sz w:val="18"/>
                <w:lang w:val="en-US" w:eastAsia="zh-CN"/>
              </w:rPr>
              <w:t>临汾市</w:t>
            </w:r>
            <w:r>
              <w:rPr>
                <w:rFonts w:hint="eastAsia"/>
                <w:sz w:val="18"/>
                <w:lang w:val="en-US" w:eastAsia="zh-CN"/>
              </w:rPr>
              <w:t>）</w:t>
            </w:r>
          </w:p>
          <w:p>
            <w:pPr>
              <w:pStyle w:val="11"/>
              <w:keepNext w:val="0"/>
              <w:keepLines w:val="0"/>
              <w:suppressLineNumbers w:val="0"/>
              <w:spacing w:beforeAutospacing="0" w:afterAutospacing="0" w:line="235" w:lineRule="auto"/>
              <w:ind w:left="36" w:right="26"/>
              <w:jc w:val="center"/>
              <w:rPr>
                <w:rFonts w:hint="eastAsia" w:eastAsia="宋体"/>
                <w:color w:val="auto"/>
                <w:sz w:val="18"/>
                <w:lang w:eastAsia="zh-CN"/>
              </w:rPr>
            </w:pPr>
            <w:r>
              <w:rPr>
                <w:rFonts w:hint="eastAsia"/>
                <w:color w:val="auto"/>
                <w:sz w:val="18"/>
                <w:lang w:eastAsia="zh-CN"/>
              </w:rPr>
              <w:t>山西省政府采购网</w:t>
            </w:r>
          </w:p>
          <w:p>
            <w:pPr>
              <w:pStyle w:val="11"/>
              <w:keepNext w:val="0"/>
              <w:keepLines w:val="0"/>
              <w:suppressLineNumbers w:val="0"/>
              <w:spacing w:beforeAutospacing="0" w:afterAutospacing="0" w:line="235" w:lineRule="auto"/>
              <w:ind w:left="36" w:right="26"/>
              <w:jc w:val="center"/>
              <w:rPr>
                <w:rFonts w:hint="eastAsia" w:eastAsia="宋体"/>
                <w:color w:val="auto"/>
                <w:sz w:val="18"/>
                <w:lang w:eastAsia="zh-CN"/>
              </w:rPr>
            </w:pPr>
          </w:p>
        </w:tc>
        <w:tc>
          <w:tcPr>
            <w:tcW w:w="465" w:type="dxa"/>
            <w:vAlign w:val="center"/>
          </w:tcPr>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122" w:beforeAutospacing="0" w:afterAutospacing="0"/>
              <w:ind w:left="189"/>
              <w:jc w:val="center"/>
              <w:rPr>
                <w:rFonts w:hint="default"/>
                <w:color w:val="auto"/>
                <w:sz w:val="18"/>
              </w:rPr>
            </w:pPr>
            <w:r>
              <w:rPr>
                <w:rFonts w:hint="default"/>
                <w:color w:val="auto"/>
                <w:sz w:val="18"/>
              </w:rPr>
              <w:t>√</w:t>
            </w:r>
          </w:p>
        </w:tc>
        <w:tc>
          <w:tcPr>
            <w:tcW w:w="546" w:type="dxa"/>
            <w:vAlign w:val="center"/>
          </w:tcPr>
          <w:p>
            <w:pPr>
              <w:pStyle w:val="11"/>
              <w:keepNext w:val="0"/>
              <w:keepLines w:val="0"/>
              <w:suppressLineNumbers w:val="0"/>
              <w:spacing w:beforeAutospacing="0" w:afterAutospacing="0"/>
              <w:jc w:val="center"/>
              <w:rPr>
                <w:rFonts w:hint="default" w:ascii="Times New Roman"/>
                <w:color w:val="auto"/>
                <w:sz w:val="18"/>
              </w:rPr>
            </w:pPr>
          </w:p>
        </w:tc>
        <w:tc>
          <w:tcPr>
            <w:tcW w:w="392" w:type="dxa"/>
            <w:vAlign w:val="center"/>
          </w:tcPr>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Autospacing="0" w:afterAutospacing="0"/>
              <w:jc w:val="center"/>
              <w:rPr>
                <w:rFonts w:hint="default" w:ascii="Times New Roman"/>
                <w:color w:val="auto"/>
                <w:sz w:val="18"/>
              </w:rPr>
            </w:pPr>
          </w:p>
          <w:p>
            <w:pPr>
              <w:pStyle w:val="11"/>
              <w:keepNext w:val="0"/>
              <w:keepLines w:val="0"/>
              <w:suppressLineNumbers w:val="0"/>
              <w:spacing w:before="122" w:beforeAutospacing="0" w:afterAutospacing="0"/>
              <w:ind w:right="83"/>
              <w:jc w:val="center"/>
              <w:rPr>
                <w:rFonts w:hint="default"/>
                <w:color w:val="auto"/>
                <w:sz w:val="18"/>
              </w:rPr>
            </w:pPr>
            <w:r>
              <w:rPr>
                <w:rFonts w:hint="default"/>
                <w:color w:val="auto"/>
                <w:sz w:val="18"/>
              </w:rPr>
              <w:t>√</w:t>
            </w:r>
          </w:p>
        </w:tc>
        <w:tc>
          <w:tcPr>
            <w:tcW w:w="361" w:type="dxa"/>
            <w:vAlign w:val="center"/>
          </w:tcPr>
          <w:p>
            <w:pPr>
              <w:pStyle w:val="11"/>
              <w:keepNext w:val="0"/>
              <w:keepLines w:val="0"/>
              <w:suppressLineNumbers w:val="0"/>
              <w:spacing w:beforeAutospacing="0" w:afterAutospacing="0"/>
              <w:jc w:val="center"/>
              <w:rPr>
                <w:rFonts w:hint="default" w:ascii="Times New Roman"/>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50" w:type="dxa"/>
            <w:gridSpan w:val="2"/>
            <w:tcBorders>
              <w:right w:val="single" w:color="auto" w:sz="4" w:space="0"/>
            </w:tcBorders>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left="50" w:right="10"/>
              <w:jc w:val="center"/>
              <w:rPr>
                <w:rFonts w:hint="default"/>
                <w:color w:val="auto"/>
                <w:sz w:val="18"/>
              </w:rPr>
            </w:pPr>
            <w:r>
              <w:rPr>
                <w:rFonts w:hint="default"/>
                <w:color w:val="auto"/>
                <w:sz w:val="18"/>
              </w:rPr>
              <w:t>20</w:t>
            </w:r>
          </w:p>
        </w:tc>
        <w:tc>
          <w:tcPr>
            <w:tcW w:w="570" w:type="dxa"/>
            <w:vMerge w:val="continue"/>
            <w:tcBorders>
              <w:top w:val="nil"/>
              <w:left w:val="single" w:color="auto" w:sz="4" w:space="0"/>
              <w:bottom w:val="single" w:color="auto" w:sz="4" w:space="0"/>
            </w:tcBorders>
            <w:vAlign w:val="center"/>
          </w:tcPr>
          <w:p>
            <w:pPr>
              <w:keepNext w:val="0"/>
              <w:keepLines w:val="0"/>
              <w:suppressLineNumbers w:val="0"/>
              <w:spacing w:beforeAutospacing="0" w:afterAutospacing="0"/>
              <w:jc w:val="center"/>
              <w:rPr>
                <w:rFonts w:hint="default"/>
                <w:color w:val="auto"/>
                <w:sz w:val="2"/>
                <w:szCs w:val="2"/>
              </w:rPr>
            </w:pPr>
          </w:p>
        </w:tc>
        <w:tc>
          <w:tcPr>
            <w:tcW w:w="1200" w:type="dxa"/>
            <w:tcBorders>
              <w:bottom w:val="single" w:color="auto" w:sz="4" w:space="0"/>
              <w:right w:val="single" w:color="auto" w:sz="4" w:space="0"/>
            </w:tcBorders>
            <w:vAlign w:val="center"/>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1" w:beforeAutospacing="0" w:afterAutospacing="0" w:line="235" w:lineRule="auto"/>
              <w:ind w:left="40" w:right="103"/>
              <w:jc w:val="both"/>
              <w:rPr>
                <w:rFonts w:hint="default"/>
                <w:color w:val="auto"/>
                <w:sz w:val="18"/>
              </w:rPr>
            </w:pPr>
            <w:r>
              <w:rPr>
                <w:rFonts w:hint="default"/>
                <w:color w:val="auto"/>
                <w:sz w:val="18"/>
              </w:rPr>
              <w:t>中标、成交结果</w:t>
            </w:r>
          </w:p>
        </w:tc>
        <w:tc>
          <w:tcPr>
            <w:tcW w:w="3195" w:type="dxa"/>
            <w:tcBorders>
              <w:left w:val="single" w:color="auto" w:sz="4" w:space="0"/>
            </w:tcBorders>
          </w:tcPr>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pacing w:val="-1"/>
                <w:sz w:val="18"/>
              </w:rPr>
              <w:t>采购人和采购代理机构名称、地址、联系方式；项目名称和项目编号；中标或者成交供应商名称、地址和中标或者成交金额；主要中标或者成交标的的名称</w:t>
            </w:r>
          </w:p>
          <w:p>
            <w:pPr>
              <w:pStyle w:val="11"/>
              <w:keepNext w:val="0"/>
              <w:keepLines w:val="0"/>
              <w:suppressLineNumbers w:val="0"/>
              <w:spacing w:beforeAutospacing="0" w:afterAutospacing="0" w:line="235" w:lineRule="auto"/>
              <w:ind w:left="37" w:right="32"/>
              <w:jc w:val="both"/>
              <w:rPr>
                <w:rFonts w:hint="default"/>
                <w:color w:val="auto"/>
                <w:sz w:val="18"/>
              </w:rPr>
            </w:pPr>
            <w:r>
              <w:rPr>
                <w:rFonts w:hint="default"/>
                <w:color w:val="auto"/>
                <w:spacing w:val="-1"/>
                <w:sz w:val="18"/>
              </w:rPr>
              <w:t>、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610" w:type="dxa"/>
          </w:tcPr>
          <w:p>
            <w:pPr>
              <w:pStyle w:val="11"/>
              <w:keepNext w:val="0"/>
              <w:keepLines w:val="0"/>
              <w:suppressLineNumbers w:val="0"/>
              <w:spacing w:before="1" w:beforeAutospacing="0" w:afterAutospacing="0" w:line="235" w:lineRule="auto"/>
              <w:ind w:left="36" w:right="33"/>
              <w:jc w:val="both"/>
              <w:rPr>
                <w:rFonts w:hint="default"/>
                <w:color w:val="auto"/>
                <w:sz w:val="18"/>
              </w:rPr>
            </w:pPr>
            <w:r>
              <w:rPr>
                <w:rFonts w:hint="default"/>
                <w:color w:val="auto"/>
                <w:sz w:val="18"/>
              </w:rPr>
              <w:t>《国务院办公厅关于推进公共资源配置领域政府信息公开的意见</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default"/>
                <w:color w:val="auto"/>
                <w:sz w:val="18"/>
              </w:rPr>
              <w:t>》（国办发〔2017〕97号）、《财政部关于做好政府采购信息公开工作的通知》（财库〔2015〕135号）</w:t>
            </w:r>
            <w:r>
              <w:rPr>
                <w:rFonts w:hint="eastAsia"/>
                <w:color w:val="auto"/>
                <w:sz w:val="18"/>
                <w:lang w:eastAsia="zh-CN"/>
              </w:rPr>
              <w:t>、</w:t>
            </w:r>
            <w:r>
              <w:rPr>
                <w:rFonts w:hint="eastAsia"/>
                <w:sz w:val="18"/>
                <w:lang w:eastAsia="zh-CN"/>
              </w:rPr>
              <w:t>《政府采购公告和公示信息格式规范（</w:t>
            </w:r>
            <w:r>
              <w:rPr>
                <w:rFonts w:hint="eastAsia"/>
                <w:sz w:val="18"/>
                <w:lang w:val="en-US" w:eastAsia="zh-CN"/>
              </w:rPr>
              <w:t>2020年版</w:t>
            </w:r>
            <w:r>
              <w:rPr>
                <w:rFonts w:hint="eastAsia"/>
                <w:sz w:val="18"/>
                <w:lang w:eastAsia="zh-CN"/>
              </w:rPr>
              <w:t>）》（财办库〔</w:t>
            </w:r>
            <w:r>
              <w:rPr>
                <w:rFonts w:hint="eastAsia"/>
                <w:sz w:val="18"/>
                <w:lang w:val="en-US" w:eastAsia="zh-CN"/>
              </w:rPr>
              <w:t>2020</w:t>
            </w:r>
            <w:r>
              <w:rPr>
                <w:rFonts w:hint="eastAsia"/>
                <w:sz w:val="18"/>
                <w:lang w:eastAsia="zh-CN"/>
              </w:rPr>
              <w:t>〕</w:t>
            </w:r>
            <w:r>
              <w:rPr>
                <w:rFonts w:hint="eastAsia"/>
                <w:sz w:val="18"/>
                <w:lang w:val="en-US" w:eastAsia="zh-CN"/>
              </w:rPr>
              <w:t>50号</w:t>
            </w:r>
            <w:r>
              <w:rPr>
                <w:rFonts w:hint="eastAsia"/>
                <w:sz w:val="18"/>
                <w:lang w:eastAsia="zh-CN"/>
              </w:rPr>
              <w:t>）、</w:t>
            </w:r>
            <w:r>
              <w:rPr>
                <w:rFonts w:hint="eastAsia"/>
                <w:color w:val="auto"/>
                <w:sz w:val="18"/>
                <w:lang w:eastAsia="zh-CN"/>
              </w:rPr>
              <w:t>《山西省人民政府办公厅关于印发山西省公共资源配置领域政府信息公开实施方案的通知》（晋政办发〔</w:t>
            </w:r>
            <w:r>
              <w:rPr>
                <w:rFonts w:hint="eastAsia"/>
                <w:color w:val="auto"/>
                <w:sz w:val="18"/>
                <w:lang w:val="en-US" w:eastAsia="zh-CN"/>
              </w:rPr>
              <w:t>2018</w:t>
            </w:r>
            <w:r>
              <w:rPr>
                <w:rFonts w:hint="eastAsia"/>
                <w:color w:val="auto"/>
                <w:sz w:val="18"/>
                <w:lang w:eastAsia="zh-CN"/>
              </w:rPr>
              <w:t>〕</w:t>
            </w:r>
            <w:r>
              <w:rPr>
                <w:rFonts w:hint="eastAsia"/>
                <w:color w:val="auto"/>
                <w:sz w:val="18"/>
                <w:lang w:val="en-US" w:eastAsia="zh-CN"/>
              </w:rPr>
              <w:t>99号</w:t>
            </w:r>
            <w:r>
              <w:rPr>
                <w:rFonts w:hint="eastAsia"/>
                <w:color w:val="auto"/>
                <w:sz w:val="18"/>
                <w:lang w:eastAsia="zh-CN"/>
              </w:rPr>
              <w:t>）</w:t>
            </w:r>
          </w:p>
        </w:tc>
        <w:tc>
          <w:tcPr>
            <w:tcW w:w="136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7" w:beforeAutospacing="0" w:afterAutospacing="0"/>
              <w:rPr>
                <w:rFonts w:hint="default" w:ascii="Times New Roman"/>
                <w:color w:val="auto"/>
                <w:sz w:val="14"/>
              </w:rPr>
            </w:pPr>
          </w:p>
          <w:p>
            <w:pPr>
              <w:pStyle w:val="11"/>
              <w:keepNext w:val="0"/>
              <w:keepLines w:val="0"/>
              <w:suppressLineNumbers w:val="0"/>
              <w:spacing w:before="1" w:beforeAutospacing="0" w:afterAutospacing="0" w:line="235" w:lineRule="auto"/>
              <w:ind w:left="59" w:right="24"/>
              <w:jc w:val="both"/>
              <w:rPr>
                <w:rFonts w:hint="default"/>
                <w:color w:val="auto"/>
                <w:sz w:val="18"/>
              </w:rPr>
            </w:pPr>
            <w:r>
              <w:rPr>
                <w:rFonts w:hint="default"/>
                <w:color w:val="auto"/>
                <w:sz w:val="18"/>
              </w:rPr>
              <w:t>自中标、成交供应商确定之日起2个工作日内公告，公告期限为1个工作日</w:t>
            </w:r>
          </w:p>
        </w:tc>
        <w:tc>
          <w:tcPr>
            <w:tcW w:w="1485" w:type="dxa"/>
          </w:tcPr>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Autospacing="0" w:afterAutospacing="0"/>
              <w:jc w:val="both"/>
              <w:rPr>
                <w:rFonts w:hint="default" w:ascii="Times New Roman"/>
                <w:color w:val="auto"/>
                <w:sz w:val="18"/>
              </w:rPr>
            </w:pPr>
          </w:p>
          <w:p>
            <w:pPr>
              <w:pStyle w:val="11"/>
              <w:keepNext w:val="0"/>
              <w:keepLines w:val="0"/>
              <w:suppressLineNumbers w:val="0"/>
              <w:spacing w:before="4" w:beforeAutospacing="0" w:afterAutospacing="0"/>
              <w:jc w:val="both"/>
              <w:rPr>
                <w:rFonts w:hint="default" w:ascii="Times New Roman"/>
                <w:color w:val="auto"/>
                <w:sz w:val="16"/>
              </w:rPr>
            </w:pPr>
          </w:p>
          <w:p>
            <w:pPr>
              <w:pStyle w:val="11"/>
              <w:keepNext w:val="0"/>
              <w:keepLines w:val="0"/>
              <w:suppressLineNumbers w:val="0"/>
              <w:spacing w:beforeAutospacing="0" w:afterAutospacing="0" w:line="232" w:lineRule="auto"/>
              <w:ind w:left="66" w:right="123"/>
              <w:jc w:val="both"/>
              <w:rPr>
                <w:rFonts w:hint="default"/>
                <w:color w:val="auto"/>
                <w:sz w:val="18"/>
              </w:rPr>
            </w:pPr>
            <w:r>
              <w:rPr>
                <w:rFonts w:hint="default"/>
                <w:color w:val="auto"/>
                <w:sz w:val="18"/>
              </w:rPr>
              <w:t>采购人或者其委托的采购代理机构</w:t>
            </w:r>
          </w:p>
        </w:tc>
        <w:tc>
          <w:tcPr>
            <w:tcW w:w="2760" w:type="dxa"/>
            <w:vAlign w:val="center"/>
          </w:tcPr>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r>
              <w:rPr>
                <w:rFonts w:hint="eastAsia"/>
                <w:color w:val="auto"/>
                <w:sz w:val="18"/>
                <w:lang w:eastAsia="zh-CN"/>
              </w:rPr>
              <w:t>山西省政府采购网</w:t>
            </w:r>
          </w:p>
          <w:p>
            <w:pPr>
              <w:pStyle w:val="11"/>
              <w:keepNext w:val="0"/>
              <w:keepLines w:val="0"/>
              <w:suppressLineNumbers w:val="0"/>
              <w:spacing w:beforeAutospacing="0" w:afterAutospacing="0" w:line="235" w:lineRule="auto"/>
              <w:ind w:left="36" w:right="26"/>
              <w:jc w:val="both"/>
              <w:rPr>
                <w:rFonts w:hint="eastAsia" w:eastAsia="宋体"/>
                <w:color w:val="auto"/>
                <w:sz w:val="18"/>
                <w:lang w:eastAsia="zh-CN"/>
              </w:rPr>
            </w:pPr>
          </w:p>
          <w:p>
            <w:pPr>
              <w:pStyle w:val="11"/>
              <w:keepNext w:val="0"/>
              <w:keepLines w:val="0"/>
              <w:suppressLineNumbers w:val="0"/>
              <w:spacing w:beforeAutospacing="0" w:afterAutospacing="0" w:line="235" w:lineRule="auto"/>
              <w:ind w:left="36" w:right="26"/>
              <w:jc w:val="both"/>
              <w:rPr>
                <w:rFonts w:hint="default"/>
                <w:color w:val="auto"/>
                <w:sz w:val="18"/>
              </w:rPr>
            </w:pPr>
          </w:p>
        </w:tc>
        <w:tc>
          <w:tcPr>
            <w:tcW w:w="465"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left="189"/>
              <w:rPr>
                <w:rFonts w:hint="default"/>
                <w:color w:val="auto"/>
                <w:sz w:val="18"/>
              </w:rPr>
            </w:pPr>
            <w:r>
              <w:rPr>
                <w:rFonts w:hint="default"/>
                <w:color w:val="auto"/>
                <w:sz w:val="18"/>
              </w:rPr>
              <w:t>√</w:t>
            </w:r>
          </w:p>
        </w:tc>
        <w:tc>
          <w:tcPr>
            <w:tcW w:w="546" w:type="dxa"/>
          </w:tcPr>
          <w:p>
            <w:pPr>
              <w:pStyle w:val="11"/>
              <w:keepNext w:val="0"/>
              <w:keepLines w:val="0"/>
              <w:suppressLineNumbers w:val="0"/>
              <w:spacing w:beforeAutospacing="0" w:afterAutospacing="0"/>
              <w:rPr>
                <w:rFonts w:hint="default" w:ascii="Times New Roman"/>
                <w:color w:val="auto"/>
                <w:sz w:val="18"/>
              </w:rPr>
            </w:pPr>
          </w:p>
        </w:tc>
        <w:tc>
          <w:tcPr>
            <w:tcW w:w="392" w:type="dxa"/>
          </w:tcPr>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Autospacing="0" w:afterAutospacing="0"/>
              <w:rPr>
                <w:rFonts w:hint="default" w:ascii="Times New Roman"/>
                <w:color w:val="auto"/>
                <w:sz w:val="18"/>
              </w:rPr>
            </w:pPr>
          </w:p>
          <w:p>
            <w:pPr>
              <w:pStyle w:val="11"/>
              <w:keepNext w:val="0"/>
              <w:keepLines w:val="0"/>
              <w:suppressLineNumbers w:val="0"/>
              <w:spacing w:before="6" w:beforeAutospacing="0" w:afterAutospacing="0"/>
              <w:rPr>
                <w:rFonts w:hint="default" w:ascii="Times New Roman"/>
                <w:color w:val="auto"/>
                <w:sz w:val="17"/>
              </w:rPr>
            </w:pPr>
          </w:p>
          <w:p>
            <w:pPr>
              <w:pStyle w:val="11"/>
              <w:keepNext w:val="0"/>
              <w:keepLines w:val="0"/>
              <w:suppressLineNumbers w:val="0"/>
              <w:spacing w:before="1" w:beforeAutospacing="0" w:afterAutospacing="0"/>
              <w:ind w:right="83"/>
              <w:jc w:val="right"/>
              <w:rPr>
                <w:rFonts w:hint="default"/>
                <w:color w:val="auto"/>
                <w:sz w:val="18"/>
              </w:rPr>
            </w:pPr>
            <w:r>
              <w:rPr>
                <w:rFonts w:hint="default"/>
                <w:color w:val="auto"/>
                <w:sz w:val="18"/>
              </w:rPr>
              <w:t>√</w:t>
            </w:r>
          </w:p>
        </w:tc>
        <w:tc>
          <w:tcPr>
            <w:tcW w:w="361" w:type="dxa"/>
          </w:tcPr>
          <w:p>
            <w:pPr>
              <w:pStyle w:val="11"/>
              <w:keepNext w:val="0"/>
              <w:keepLines w:val="0"/>
              <w:suppressLineNumbers w:val="0"/>
              <w:spacing w:beforeAutospacing="0" w:afterAutospacing="0"/>
              <w:rPr>
                <w:rFonts w:hint="default" w:ascii="Times New Roman"/>
                <w:color w:val="auto"/>
                <w:sz w:val="18"/>
              </w:rPr>
            </w:pPr>
          </w:p>
        </w:tc>
      </w:tr>
    </w:tbl>
    <w:p>
      <w:pPr>
        <w:pStyle w:val="2"/>
        <w:spacing w:before="2"/>
        <w:rPr>
          <w:rFonts w:ascii="Times New Roman"/>
          <w:sz w:val="4"/>
        </w:rPr>
      </w:pPr>
    </w:p>
    <w:sectPr>
      <w:footerReference r:id="rId3" w:type="default"/>
      <w:pgSz w:w="16840" w:h="11910" w:orient="landscape"/>
      <w:pgMar w:top="1100" w:right="580" w:bottom="760" w:left="620" w:header="0" w:footer="525"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6"/>
      </w:rPr>
    </w:pPr>
    <w:r>
      <w:rPr>
        <w:sz w:val="16"/>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11</w:t>
                </w:r>
                <w:r>
                  <w:rPr>
                    <w:rFonts w:hint="eastAsia"/>
                    <w:sz w:val="24"/>
                    <w:szCs w:val="24"/>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29000F0"/>
    <w:rsid w:val="046758D3"/>
    <w:rsid w:val="05A761CC"/>
    <w:rsid w:val="094A0CD1"/>
    <w:rsid w:val="0A5B24FB"/>
    <w:rsid w:val="0A805533"/>
    <w:rsid w:val="0BFE5005"/>
    <w:rsid w:val="0C443677"/>
    <w:rsid w:val="0F2C2A23"/>
    <w:rsid w:val="125D015A"/>
    <w:rsid w:val="1AB31BDF"/>
    <w:rsid w:val="1B591C1E"/>
    <w:rsid w:val="224661F1"/>
    <w:rsid w:val="24FC458B"/>
    <w:rsid w:val="2B7B2332"/>
    <w:rsid w:val="2BB019AF"/>
    <w:rsid w:val="2CAC7563"/>
    <w:rsid w:val="2E5E5314"/>
    <w:rsid w:val="2ED54BF8"/>
    <w:rsid w:val="30C20CAF"/>
    <w:rsid w:val="33720220"/>
    <w:rsid w:val="37294331"/>
    <w:rsid w:val="3D84301D"/>
    <w:rsid w:val="3EB72FFD"/>
    <w:rsid w:val="423529EF"/>
    <w:rsid w:val="441F61ED"/>
    <w:rsid w:val="45337419"/>
    <w:rsid w:val="47382D1D"/>
    <w:rsid w:val="4CAC3916"/>
    <w:rsid w:val="503E782A"/>
    <w:rsid w:val="541A39E4"/>
    <w:rsid w:val="5693605B"/>
    <w:rsid w:val="584D0A4D"/>
    <w:rsid w:val="5C611154"/>
    <w:rsid w:val="5F4E3284"/>
    <w:rsid w:val="681A2E8E"/>
    <w:rsid w:val="704C6C75"/>
    <w:rsid w:val="72F5787D"/>
    <w:rsid w:val="77150780"/>
    <w:rsid w:val="780F69D8"/>
    <w:rsid w:val="79001D2A"/>
    <w:rsid w:val="7C534C48"/>
    <w:rsid w:val="7D8E229E"/>
    <w:rsid w:val="7E9D6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15</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2019-08-28T02:38:00Z</dcterms:created>
  <dc:creator>gaoliping</dc:creator>
  <cp:lastModifiedBy>lenovo</cp:lastModifiedBy>
  <cp:lastPrinted>2020-12-03T05:17:31Z</cp:lastPrinted>
  <dcterms:modified xsi:type="dcterms:W3CDTF">2020-12-03T05:18:33Z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2019-08-28T00:00:00Z</vt:filetime>
  </property>
  <property fmtid="{D5CDD505-2E9C-101B-9397-08002B2CF9AE}" pid="4" name="KSOProductBuildVer">
    <vt:lpwstr>2052-11.1.0.10132</vt:lpwstr>
  </property>
</Properties>
</file>