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下李乡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义务教育领域基层政务公开标准目录</w:t>
      </w:r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986"/>
        <w:gridCol w:w="2254"/>
        <w:gridCol w:w="2520"/>
        <w:gridCol w:w="1620"/>
        <w:gridCol w:w="1046"/>
        <w:gridCol w:w="2014"/>
        <w:gridCol w:w="540"/>
        <w:gridCol w:w="709"/>
        <w:gridCol w:w="11"/>
        <w:gridCol w:w="54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2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01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2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财务信息</w:t>
            </w:r>
          </w:p>
        </w:tc>
        <w:tc>
          <w:tcPr>
            <w:tcW w:w="986" w:type="dxa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财务信息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财务管理及监督办法、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年度经费预决算信息、收费项目及收费标准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  <w:lang w:eastAsia="zh-CN"/>
              </w:rPr>
              <w:t>县教育科技局、各学校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 xml:space="preserve">■政府网站             ■公开查阅点  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学生管理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义务教育学生资助政策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统一城乡义务教育“两免一补”政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策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  <w:lang w:eastAsia="zh-CN"/>
              </w:rPr>
              <w:t>县教育科技局、各学校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B3443"/>
    <w:rsid w:val="153711F9"/>
    <w:rsid w:val="3D94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</dc:creator>
  <cp:lastModifiedBy>ALI w</cp:lastModifiedBy>
  <dcterms:modified xsi:type="dcterms:W3CDTF">2020-08-14T08:09:46Z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