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14"/>
      <w:r>
        <w:rPr>
          <w:rFonts w:hint="eastAsia" w:ascii="方正小标宋_GBK" w:hAnsi="方正小标宋_GBK" w:eastAsia="方正小标宋_GBK"/>
          <w:b w:val="0"/>
          <w:bCs w:val="0"/>
          <w:sz w:val="30"/>
          <w:lang w:eastAsia="zh-CN"/>
        </w:rPr>
        <w:t>寨子乡</w:t>
      </w:r>
      <w:r>
        <w:rPr>
          <w:rFonts w:ascii="方正小标宋_GBK" w:hAnsi="方正小标宋_GBK" w:eastAsia="方正小标宋_GBK"/>
          <w:b w:val="0"/>
          <w:bCs w:val="0"/>
          <w:sz w:val="30"/>
        </w:rPr>
        <w:t>规划</w:t>
      </w:r>
      <w:r>
        <w:rPr>
          <w:rFonts w:hint="eastAsia" w:ascii="方正小标宋_GBK" w:hAnsi="方正小标宋_GBK" w:eastAsia="方正小标宋_GBK"/>
          <w:b w:val="0"/>
          <w:bCs w:val="0"/>
          <w:sz w:val="30"/>
        </w:rPr>
        <w:t>领域基层政务公开标准目录</w:t>
      </w:r>
      <w:bookmarkEnd w:id="0"/>
    </w:p>
    <w:tbl>
      <w:tblPr>
        <w:tblStyle w:val="3"/>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noWrap w:val="0"/>
            <w:vAlign w:val="center"/>
          </w:tcPr>
          <w:p>
            <w:pPr>
              <w:widowControl/>
              <w:jc w:val="left"/>
              <w:rPr>
                <w:rFonts w:ascii="黑体" w:hAnsi="宋体" w:eastAsia="黑体" w:cs="宋体"/>
                <w:color w:val="000000"/>
                <w:kern w:val="0"/>
                <w:sz w:val="22"/>
              </w:rPr>
            </w:pPr>
          </w:p>
        </w:tc>
        <w:tc>
          <w:tcPr>
            <w:tcW w:w="216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080" w:type="dxa"/>
            <w:vMerge w:val="continue"/>
            <w:noWrap w:val="0"/>
            <w:vAlign w:val="center"/>
          </w:tcPr>
          <w:p>
            <w:pPr>
              <w:widowControl/>
              <w:jc w:val="left"/>
              <w:rPr>
                <w:rFonts w:ascii="黑体" w:hAnsi="宋体" w:eastAsia="黑体" w:cs="宋体"/>
                <w:color w:val="000000"/>
                <w:kern w:val="0"/>
                <w:sz w:val="22"/>
              </w:rPr>
            </w:pPr>
          </w:p>
        </w:tc>
        <w:tc>
          <w:tcPr>
            <w:tcW w:w="2756"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noWrap w:val="0"/>
            <w:vAlign w:val="center"/>
          </w:tcPr>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乡政府</w:t>
            </w:r>
          </w:p>
        </w:tc>
        <w:tc>
          <w:tcPr>
            <w:tcW w:w="2756"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■公开查阅点</w:t>
            </w:r>
          </w:p>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宣传现场</w:t>
            </w:r>
            <w:r>
              <w:rPr>
                <w:rFonts w:ascii="仿宋_GB2312" w:hAnsi="宋体" w:eastAsia="仿宋_GB2312"/>
                <w:color w:val="000000"/>
                <w:sz w:val="18"/>
                <w:szCs w:val="18"/>
              </w:rPr>
              <w:t xml:space="preserve">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pPr>
              <w:jc w:val="left"/>
              <w:rPr>
                <w:rFonts w:ascii="仿宋_GB2312" w:hAnsi="宋体" w:eastAsia="仿宋_GB2312"/>
                <w:color w:val="000000"/>
                <w:sz w:val="18"/>
                <w:szCs w:val="18"/>
              </w:rPr>
            </w:pP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乡政府</w:t>
            </w:r>
          </w:p>
        </w:tc>
        <w:tc>
          <w:tcPr>
            <w:tcW w:w="2756"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■公开查阅点</w:t>
            </w:r>
          </w:p>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宣传现场</w:t>
            </w:r>
            <w:r>
              <w:rPr>
                <w:rFonts w:ascii="仿宋_GB2312" w:hAnsi="宋体" w:eastAsia="仿宋_GB2312"/>
                <w:color w:val="000000"/>
                <w:sz w:val="18"/>
                <w:szCs w:val="18"/>
              </w:rPr>
              <w:t xml:space="preserve">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noWrap w:val="0"/>
            <w:vAlign w:val="center"/>
          </w:tcPr>
          <w:p>
            <w:pPr>
              <w:widowControl/>
              <w:jc w:val="left"/>
              <w:rPr>
                <w:rFonts w:ascii="仿宋_GB2312" w:hAnsi="宋体" w:eastAsia="仿宋_GB2312"/>
                <w:color w:val="000000"/>
                <w:sz w:val="18"/>
                <w:szCs w:val="18"/>
              </w:rPr>
            </w:pP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行政许可的事项、依据、条件、数量、程序、期限以及申请行政许可需要提交的全部材料目录</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乡政府</w:t>
            </w:r>
          </w:p>
        </w:tc>
        <w:tc>
          <w:tcPr>
            <w:tcW w:w="2756"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■公开查阅点</w:t>
            </w:r>
          </w:p>
          <w:p>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宣传现场</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noWrap w:val="0"/>
            <w:vAlign w:val="center"/>
          </w:tcPr>
          <w:p>
            <w:pPr>
              <w:jc w:val="left"/>
              <w:rPr>
                <w:rFonts w:hint="eastAsia"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城市、镇总体规划及同级的土地利用规划</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乡政府</w:t>
            </w:r>
          </w:p>
        </w:tc>
        <w:tc>
          <w:tcPr>
            <w:tcW w:w="2756"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■公开查阅点</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hint="eastAsia"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noWrap w:val="0"/>
            <w:vAlign w:val="center"/>
          </w:tcPr>
          <w:p>
            <w:pPr>
              <w:jc w:val="center"/>
              <w:rPr>
                <w:rFonts w:ascii="仿宋_GB2312" w:hAnsi="宋体" w:eastAsia="仿宋_GB2312"/>
                <w:color w:val="000000"/>
                <w:sz w:val="18"/>
                <w:szCs w:val="18"/>
              </w:rPr>
            </w:pPr>
          </w:p>
        </w:tc>
        <w:tc>
          <w:tcPr>
            <w:tcW w:w="108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乡规划及同级的土地利用规划</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乡政府</w:t>
            </w:r>
          </w:p>
        </w:tc>
        <w:tc>
          <w:tcPr>
            <w:tcW w:w="2756"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■公开查阅点</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hint="eastAsia"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noWrap w:val="0"/>
            <w:vAlign w:val="center"/>
          </w:tcPr>
          <w:p>
            <w:pPr>
              <w:widowControl/>
              <w:jc w:val="center"/>
              <w:rPr>
                <w:rFonts w:hint="eastAsia" w:ascii="仿宋_GB2312" w:hAnsi="宋体" w:eastAsia="仿宋_GB2312"/>
                <w:color w:val="000000"/>
                <w:sz w:val="18"/>
                <w:szCs w:val="18"/>
              </w:rPr>
            </w:pPr>
          </w:p>
        </w:tc>
        <w:tc>
          <w:tcPr>
            <w:tcW w:w="108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城市、镇详细规划</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乡政府</w:t>
            </w:r>
          </w:p>
        </w:tc>
        <w:tc>
          <w:tcPr>
            <w:tcW w:w="2756"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乡政府</w:t>
            </w:r>
          </w:p>
        </w:tc>
        <w:tc>
          <w:tcPr>
            <w:tcW w:w="2756"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■公开查阅点</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1800" w:type="dxa"/>
            <w:noWrap w:val="0"/>
            <w:vAlign w:val="center"/>
          </w:tcPr>
          <w:p>
            <w:pPr>
              <w:widowControl/>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乡政府</w:t>
            </w:r>
          </w:p>
        </w:tc>
        <w:tc>
          <w:tcPr>
            <w:tcW w:w="2756"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 </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noWrap w:val="0"/>
            <w:vAlign w:val="center"/>
          </w:tcPr>
          <w:p>
            <w:pPr>
              <w:widowControl/>
              <w:jc w:val="center"/>
              <w:rPr>
                <w:rFonts w:ascii="仿宋_GB2312" w:hAnsi="宋体" w:eastAsia="仿宋_GB2312"/>
                <w:color w:val="000000"/>
                <w:sz w:val="18"/>
                <w:szCs w:val="18"/>
              </w:rPr>
            </w:pPr>
          </w:p>
        </w:tc>
        <w:tc>
          <w:tcPr>
            <w:tcW w:w="108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800"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乡政府</w:t>
            </w:r>
          </w:p>
        </w:tc>
        <w:tc>
          <w:tcPr>
            <w:tcW w:w="2756" w:type="dxa"/>
            <w:noWrap w:val="0"/>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■公开查阅点</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noWrap w:val="0"/>
            <w:vAlign w:val="center"/>
          </w:tcPr>
          <w:p>
            <w:pPr>
              <w:widowControl/>
              <w:jc w:val="center"/>
              <w:rPr>
                <w:rFonts w:ascii="仿宋_GB2312" w:hAnsi="宋体" w:eastAsia="仿宋_GB2312"/>
                <w:color w:val="000000"/>
                <w:sz w:val="18"/>
                <w:szCs w:val="18"/>
              </w:rPr>
            </w:pPr>
          </w:p>
        </w:tc>
        <w:tc>
          <w:tcPr>
            <w:tcW w:w="108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800" w:type="dxa"/>
            <w:noWrap w:val="0"/>
            <w:vAlign w:val="center"/>
          </w:tcPr>
          <w:p>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noWrap w:val="0"/>
            <w:vAlign w:val="center"/>
          </w:tcPr>
          <w:p>
            <w:pPr>
              <w:widowControl/>
              <w:spacing w:line="240" w:lineRule="exac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乡政府</w:t>
            </w:r>
          </w:p>
        </w:tc>
        <w:tc>
          <w:tcPr>
            <w:tcW w:w="2756" w:type="dxa"/>
            <w:noWrap w:val="0"/>
            <w:vAlign w:val="center"/>
          </w:tcPr>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■公开查阅点</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1800"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2160" w:type="dxa"/>
            <w:noWrap w:val="0"/>
            <w:vAlign w:val="center"/>
          </w:tcPr>
          <w:p>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乡政府</w:t>
            </w:r>
          </w:p>
        </w:tc>
        <w:tc>
          <w:tcPr>
            <w:tcW w:w="2756"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■公开查阅点</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行政处罚基本信息</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执法主体、执法人员姓名及证件编号、职责、权限、查处依据、工作程序、救济渠道和随机抽查事项清单等信息</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乡政府</w:t>
            </w:r>
          </w:p>
        </w:tc>
        <w:tc>
          <w:tcPr>
            <w:tcW w:w="2756" w:type="dxa"/>
            <w:noWrap w:val="0"/>
            <w:vAlign w:val="center"/>
          </w:tcPr>
          <w:p>
            <w:pPr>
              <w:widowControl/>
              <w:spacing w:line="260" w:lineRule="exact"/>
              <w:rPr>
                <w:rFonts w:ascii="仿宋_GB2312" w:hAnsi="宋体" w:eastAsia="仿宋_GB2312"/>
                <w:color w:val="000000"/>
                <w:sz w:val="18"/>
                <w:szCs w:val="18"/>
              </w:rPr>
            </w:pP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■公开查阅点</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事后公开</w:t>
            </w:r>
          </w:p>
        </w:tc>
        <w:tc>
          <w:tcPr>
            <w:tcW w:w="1800" w:type="dxa"/>
            <w:noWrap w:val="0"/>
            <w:vAlign w:val="center"/>
          </w:tcPr>
          <w:p>
            <w:pPr>
              <w:widowControl/>
              <w:jc w:val="left"/>
              <w:rPr>
                <w:rFonts w:ascii="仿宋_GB2312" w:hAnsi="宋体" w:eastAsia="仿宋_GB2312"/>
                <w:color w:val="000000"/>
                <w:sz w:val="18"/>
                <w:szCs w:val="18"/>
              </w:rPr>
            </w:pPr>
            <w:r>
              <w:rPr>
                <w:rFonts w:ascii="仿宋_GB2312" w:hAnsi="宋体" w:eastAsia="仿宋_GB2312"/>
                <w:color w:val="000000"/>
                <w:sz w:val="18"/>
                <w:szCs w:val="18"/>
              </w:rPr>
              <w:t>作出的行政处罚决定信息（法律、行政法规另有规定的除外）</w:t>
            </w:r>
          </w:p>
        </w:tc>
        <w:tc>
          <w:tcPr>
            <w:tcW w:w="2160" w:type="dxa"/>
            <w:noWrap w:val="0"/>
            <w:vAlign w:val="center"/>
          </w:tcPr>
          <w:p>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7个工作日</w:t>
            </w:r>
          </w:p>
        </w:tc>
        <w:tc>
          <w:tcPr>
            <w:tcW w:w="108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乡政府</w:t>
            </w:r>
          </w:p>
        </w:tc>
        <w:tc>
          <w:tcPr>
            <w:tcW w:w="2756" w:type="dxa"/>
            <w:noWrap w:val="0"/>
            <w:vAlign w:val="center"/>
          </w:tcPr>
          <w:p>
            <w:pPr>
              <w:widowControl/>
              <w:spacing w:line="260" w:lineRule="exact"/>
              <w:rPr>
                <w:rFonts w:ascii="仿宋_GB2312" w:hAnsi="宋体" w:eastAsia="仿宋_GB2312"/>
                <w:color w:val="000000"/>
                <w:sz w:val="18"/>
                <w:szCs w:val="18"/>
              </w:rPr>
            </w:pPr>
          </w:p>
          <w:p>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■公开查阅点</w:t>
            </w:r>
          </w:p>
          <w:p>
            <w:pPr>
              <w:widowControl/>
              <w:spacing w:line="260" w:lineRule="exact"/>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noWrap w:val="0"/>
            <w:vAlign w:val="center"/>
          </w:tcPr>
          <w:p>
            <w:pPr>
              <w:widowControl/>
              <w:jc w:val="center"/>
              <w:rPr>
                <w:rFonts w:ascii="仿宋_GB2312" w:hAnsi="宋体" w:eastAsia="仿宋_GB2312"/>
                <w:color w:val="000000"/>
                <w:sz w:val="18"/>
                <w:szCs w:val="18"/>
              </w:rPr>
            </w:pPr>
          </w:p>
        </w:tc>
        <w:tc>
          <w:tcPr>
            <w:tcW w:w="551"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c>
          <w:tcPr>
            <w:tcW w:w="720" w:type="dxa"/>
            <w:noWrap w:val="0"/>
            <w:vAlign w:val="center"/>
          </w:tcPr>
          <w:p>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noWrap w:val="0"/>
            <w:vAlign w:val="center"/>
          </w:tcPr>
          <w:p>
            <w:pPr>
              <w:widowControl/>
              <w:jc w:val="center"/>
              <w:rPr>
                <w:rFonts w:ascii="仿宋_GB2312" w:hAnsi="宋体" w:eastAsia="仿宋_GB2312"/>
                <w:color w:val="000000"/>
                <w:sz w:val="18"/>
                <w:szCs w:val="18"/>
              </w:rPr>
            </w:pPr>
          </w:p>
        </w:tc>
      </w:tr>
    </w:tbl>
    <w:p/>
    <w:sectPr>
      <w:pgSz w:w="16838" w:h="11906" w:orient="landscape"/>
      <w:pgMar w:top="1440" w:right="1259" w:bottom="1440" w:left="18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906E3"/>
    <w:rsid w:val="13157C3A"/>
    <w:rsid w:val="17804F58"/>
    <w:rsid w:val="220227CC"/>
    <w:rsid w:val="23F906E3"/>
    <w:rsid w:val="24F42920"/>
    <w:rsid w:val="2B820FF5"/>
    <w:rsid w:val="3C04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2020-08-06T01:21:00Z</dcterms:created>
  <dc:creator>兲丄丅魚</dc:creator>
  <cp:lastModifiedBy>梁凤凤～13753520647</cp:lastModifiedBy>
  <cp:lastPrinted>2020-08-06T01:22:00Z</cp:lastPrinted>
  <dcterms:modified xsi:type="dcterms:W3CDTF">2020-08-17T06:19:47Z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