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仿宋_GB2312" w:hAnsi="方正大标宋简体" w:eastAsia="仿宋_GB2312"/>
          <w:color w:val="FF0000"/>
          <w:sz w:val="32"/>
          <w:szCs w:val="32"/>
        </w:rPr>
      </w:pPr>
      <w:bookmarkStart w:id="0" w:name="_GoBack"/>
      <w:bookmarkEnd w:id="0"/>
    </w:p>
    <w:p>
      <w:pPr>
        <w:spacing w:line="640" w:lineRule="exact"/>
        <w:jc w:val="center"/>
        <w:rPr>
          <w:rFonts w:hint="eastAsia" w:ascii="仿宋_GB2312" w:hAnsi="方正大标宋简体" w:eastAsia="仿宋_GB2312"/>
          <w:color w:val="FF0000"/>
          <w:sz w:val="32"/>
          <w:szCs w:val="32"/>
        </w:rPr>
      </w:pPr>
      <w:r>
        <w:rPr>
          <w:rFonts w:hint="eastAsia" w:ascii="仿宋_GB2312" w:hAnsi="方正大标宋简体" w:eastAsia="仿宋_GB2312"/>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-506730</wp:posOffset>
                </wp:positionH>
                <wp:positionV relativeFrom="paragraph">
                  <wp:posOffset>118110</wp:posOffset>
                </wp:positionV>
                <wp:extent cx="6082665" cy="1299210"/>
                <wp:effectExtent l="0" t="0" r="13335" b="15240"/>
                <wp:wrapNone/>
                <wp:docPr id="40" name="文本框 40"/>
                <wp:cNvGraphicFramePr/>
                <a:graphic xmlns:a="http://schemas.openxmlformats.org/drawingml/2006/main">
                  <a:graphicData uri="http://schemas.microsoft.com/office/word/2010/wordprocessingShape">
                    <wps:wsp>
                      <wps:cNvSpPr txBox="1"/>
                      <wps:spPr>
                        <a:xfrm>
                          <a:off x="0" y="0"/>
                          <a:ext cx="6082665" cy="1299210"/>
                        </a:xfrm>
                        <a:prstGeom prst="rect">
                          <a:avLst/>
                        </a:prstGeom>
                        <a:solidFill>
                          <a:srgbClr val="FFFFFF"/>
                        </a:solidFill>
                        <a:ln w="28575">
                          <a:noFill/>
                        </a:ln>
                      </wps:spPr>
                      <wps:txbx>
                        <w:txbxContent>
                          <w:p>
                            <w:pPr>
                              <w:jc w:val="center"/>
                              <w:rPr>
                                <w:rFonts w:hint="eastAsia" w:ascii="宋体" w:hAnsi="宋体" w:eastAsia="宋体" w:cs="宋体"/>
                                <w:color w:val="FF0000"/>
                                <w:spacing w:val="20"/>
                                <w:w w:val="54"/>
                                <w:sz w:val="116"/>
                                <w:szCs w:val="116"/>
                                <w:lang w:eastAsia="zh-CN"/>
                              </w:rPr>
                            </w:pPr>
                            <w:r>
                              <w:rPr>
                                <w:rFonts w:hint="eastAsia" w:ascii="宋体" w:hAnsi="宋体" w:eastAsia="宋体" w:cs="宋体"/>
                                <w:color w:val="FF0000"/>
                                <w:spacing w:val="23"/>
                                <w:w w:val="54"/>
                                <w:sz w:val="116"/>
                                <w:szCs w:val="116"/>
                                <w:lang w:val="en-US" w:eastAsia="zh-CN"/>
                              </w:rPr>
                              <w:t xml:space="preserve"> </w:t>
                            </w:r>
                            <w:r>
                              <w:rPr>
                                <w:rFonts w:hint="eastAsia" w:ascii="宋体" w:hAnsi="宋体" w:eastAsia="宋体" w:cs="宋体"/>
                                <w:b/>
                                <w:bCs/>
                                <w:color w:val="FF0000"/>
                                <w:spacing w:val="23"/>
                                <w:w w:val="54"/>
                                <w:sz w:val="116"/>
                                <w:szCs w:val="116"/>
                                <w:lang w:eastAsia="zh-CN"/>
                              </w:rPr>
                              <w:t>隰县行政审批服务管理</w:t>
                            </w:r>
                            <w:r>
                              <w:rPr>
                                <w:rFonts w:hint="eastAsia" w:ascii="宋体" w:hAnsi="宋体" w:eastAsia="宋体" w:cs="宋体"/>
                                <w:b/>
                                <w:bCs/>
                                <w:color w:val="FF0000"/>
                                <w:spacing w:val="20"/>
                                <w:w w:val="54"/>
                                <w:sz w:val="116"/>
                                <w:szCs w:val="116"/>
                                <w:lang w:eastAsia="zh-CN"/>
                              </w:rPr>
                              <w:t>局文件</w:t>
                            </w:r>
                          </w:p>
                          <w:p>
                            <w:pPr>
                              <w:spacing w:line="1400" w:lineRule="exact"/>
                              <w:jc w:val="center"/>
                              <w:rPr>
                                <w:rFonts w:hint="eastAsia"/>
                              </w:rPr>
                            </w:pPr>
                          </w:p>
                        </w:txbxContent>
                      </wps:txbx>
                      <wps:bodyPr upright="1"/>
                    </wps:wsp>
                  </a:graphicData>
                </a:graphic>
              </wp:anchor>
            </w:drawing>
          </mc:Choice>
          <mc:Fallback>
            <w:pict>
              <v:shape id="_x0000_s1026" o:spid="_x0000_s1026" o:spt="202" type="#_x0000_t202" style="position:absolute;left:0pt;margin-left:-39.9pt;margin-top:9.3pt;height:102.3pt;width:478.95pt;z-index:251659264;mso-width-relative:page;mso-height-relative:page;" fillcolor="#FFFFFF" filled="t" stroked="f" coordsize="21600,21600" o:gfxdata="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7DE/doAAAAKAQAADwAAAAAAAAABACAAAAAiAAAA&#10;ZHJzL2Rvd25yZXYueG1sUEsBAhQAFAAAAAgAh07iQJbQosXMAQAAhAMAAA4AAAAAAAAAAQAgAAAA&#10;KQEAAGRycy9lMm9Eb2MueG1sUEsFBgAAAAAGAAYAWQEAAGcFAAAAAA==&#10;">
                <v:fill on="t" focussize="0,0"/>
                <v:stroke on="f" weight="2.25pt"/>
                <v:imagedata o:title=""/>
                <o:lock v:ext="edit" aspectratio="f"/>
                <v:textbox>
                  <w:txbxContent>
                    <w:p>
                      <w:pPr>
                        <w:jc w:val="center"/>
                        <w:rPr>
                          <w:rFonts w:hint="eastAsia" w:ascii="宋体" w:hAnsi="宋体" w:eastAsia="宋体" w:cs="宋体"/>
                          <w:color w:val="FF0000"/>
                          <w:spacing w:val="20"/>
                          <w:w w:val="54"/>
                          <w:sz w:val="116"/>
                          <w:szCs w:val="116"/>
                          <w:lang w:eastAsia="zh-CN"/>
                        </w:rPr>
                      </w:pPr>
                      <w:r>
                        <w:rPr>
                          <w:rFonts w:hint="eastAsia" w:ascii="宋体" w:hAnsi="宋体" w:eastAsia="宋体" w:cs="宋体"/>
                          <w:color w:val="FF0000"/>
                          <w:spacing w:val="23"/>
                          <w:w w:val="54"/>
                          <w:sz w:val="116"/>
                          <w:szCs w:val="116"/>
                          <w:lang w:val="en-US" w:eastAsia="zh-CN"/>
                        </w:rPr>
                        <w:t xml:space="preserve"> </w:t>
                      </w:r>
                      <w:r>
                        <w:rPr>
                          <w:rFonts w:hint="eastAsia" w:ascii="宋体" w:hAnsi="宋体" w:eastAsia="宋体" w:cs="宋体"/>
                          <w:b/>
                          <w:bCs/>
                          <w:color w:val="FF0000"/>
                          <w:spacing w:val="23"/>
                          <w:w w:val="54"/>
                          <w:sz w:val="116"/>
                          <w:szCs w:val="116"/>
                          <w:lang w:eastAsia="zh-CN"/>
                        </w:rPr>
                        <w:t>隰县行政审批服务管理</w:t>
                      </w:r>
                      <w:r>
                        <w:rPr>
                          <w:rFonts w:hint="eastAsia" w:ascii="宋体" w:hAnsi="宋体" w:eastAsia="宋体" w:cs="宋体"/>
                          <w:b/>
                          <w:bCs/>
                          <w:color w:val="FF0000"/>
                          <w:spacing w:val="20"/>
                          <w:w w:val="54"/>
                          <w:sz w:val="116"/>
                          <w:szCs w:val="116"/>
                          <w:lang w:eastAsia="zh-CN"/>
                        </w:rPr>
                        <w:t>局文件</w:t>
                      </w:r>
                    </w:p>
                    <w:p>
                      <w:pPr>
                        <w:spacing w:line="1400" w:lineRule="exact"/>
                        <w:jc w:val="center"/>
                        <w:rPr>
                          <w:rFonts w:hint="eastAsia"/>
                        </w:rPr>
                      </w:pPr>
                    </w:p>
                  </w:txbxContent>
                </v:textbox>
              </v:shape>
            </w:pict>
          </mc:Fallback>
        </mc:AlternateContent>
      </w:r>
    </w:p>
    <w:p>
      <w:pPr>
        <w:spacing w:line="640" w:lineRule="exact"/>
        <w:jc w:val="center"/>
        <w:rPr>
          <w:rFonts w:hint="eastAsia" w:ascii="仿宋_GB2312" w:hAnsi="方正大标宋简体" w:eastAsia="仿宋_GB2312"/>
          <w:color w:val="FF0000"/>
          <w:sz w:val="32"/>
          <w:szCs w:val="32"/>
        </w:rPr>
      </w:pPr>
    </w:p>
    <w:p>
      <w:pPr>
        <w:spacing w:line="640" w:lineRule="exact"/>
        <w:jc w:val="center"/>
        <w:rPr>
          <w:rFonts w:hint="eastAsia" w:ascii="仿宋_GB2312" w:hAnsi="方正大标宋简体" w:eastAsia="仿宋_GB2312"/>
          <w:color w:val="FF0000"/>
          <w:sz w:val="32"/>
          <w:szCs w:val="32"/>
        </w:rPr>
      </w:pPr>
    </w:p>
    <w:p>
      <w:pPr>
        <w:spacing w:line="640" w:lineRule="exact"/>
        <w:jc w:val="center"/>
        <w:rPr>
          <w:rFonts w:hint="eastAsia" w:ascii="仿宋_GB2312" w:hAnsi="方正大标宋简体" w:eastAsia="仿宋_GB2312"/>
          <w:color w:val="FF0000"/>
          <w:sz w:val="32"/>
          <w:szCs w:val="32"/>
        </w:rPr>
      </w:pPr>
    </w:p>
    <w:p>
      <w:pPr>
        <w:spacing w:line="640" w:lineRule="exact"/>
        <w:jc w:val="center"/>
        <w:rPr>
          <w:rFonts w:hint="eastAsia" w:ascii="仿宋_GB2312" w:hAnsi="方正大标宋简体" w:eastAsia="仿宋_GB2312"/>
          <w:color w:val="FF0000"/>
          <w:sz w:val="32"/>
          <w:szCs w:val="32"/>
        </w:rPr>
      </w:pPr>
    </w:p>
    <w:p>
      <w:pPr>
        <w:spacing w:line="640" w:lineRule="exact"/>
        <w:jc w:val="center"/>
        <w:rPr>
          <w:rFonts w:hint="eastAsia" w:ascii="仿宋" w:hAnsi="仿宋" w:eastAsia="仿宋" w:cs="仿宋"/>
          <w:color w:val="FF0000"/>
          <w:sz w:val="32"/>
          <w:szCs w:val="32"/>
        </w:rPr>
      </w:pPr>
      <w:r>
        <w:rPr>
          <w:rFonts w:hint="eastAsia" w:ascii="仿宋" w:hAnsi="仿宋" w:eastAsia="仿宋" w:cs="仿宋"/>
          <w:color w:val="000000"/>
          <w:sz w:val="32"/>
          <w:szCs w:val="32"/>
        </w:rPr>
        <w:t>隰</w:t>
      </w:r>
      <w:r>
        <w:rPr>
          <w:rFonts w:hint="eastAsia" w:ascii="仿宋" w:hAnsi="仿宋" w:eastAsia="仿宋" w:cs="仿宋"/>
          <w:color w:val="000000"/>
          <w:sz w:val="32"/>
          <w:szCs w:val="32"/>
          <w:lang w:eastAsia="zh-CN"/>
        </w:rPr>
        <w:t>审管发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号</w:t>
      </w:r>
    </w:p>
    <w:p>
      <w:pPr>
        <w:jc w:val="center"/>
        <w:rPr>
          <w:rFonts w:ascii="仿宋" w:hAnsi="仿宋" w:eastAsia="仿宋" w:cs="宋体"/>
          <w:sz w:val="32"/>
          <w:szCs w:val="32"/>
        </w:rPr>
      </w:pPr>
      <w:r>
        <w:rPr>
          <w:rFonts w:ascii="方正大标宋简体" w:hAnsi="方正大标宋简体" w:eastAsia="方正大标宋简体"/>
          <w:color w:val="FF0000"/>
          <w:sz w:val="90"/>
          <w:szCs w:val="90"/>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114935</wp:posOffset>
                </wp:positionV>
                <wp:extent cx="5579745" cy="0"/>
                <wp:effectExtent l="0" t="19050" r="1905" b="19050"/>
                <wp:wrapNone/>
                <wp:docPr id="41" name="直线 110"/>
                <wp:cNvGraphicFramePr/>
                <a:graphic xmlns:a="http://schemas.openxmlformats.org/drawingml/2006/main">
                  <a:graphicData uri="http://schemas.microsoft.com/office/word/2010/wordprocessingShape">
                    <wps:wsp>
                      <wps:cNvCnPr/>
                      <wps:spPr>
                        <a:xfrm>
                          <a:off x="0" y="0"/>
                          <a:ext cx="557974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5.65pt;margin-top:9.05pt;height:0pt;width:439.35pt;z-index:251661312;mso-width-relative:page;mso-height-relative:page;" filled="f" stroked="t" coordsize="21600,21600" o:gfxdata="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0m4kjaAAAACQEAAA8AAAAAAAAAAQAgAAAAIgAAAGRycy9kb3ducmV2LnhtbFBLAQIUABQA&#10;AAAIAIdO4kA+D/7R7gEAAN8DAAAOAAAAAAAAAAEAIAAAACkBAABkcnMvZTJvRG9jLnhtbFBLBQYA&#10;AAAABgAGAFkBAACJBQAAAAA=&#10;">
                <v:fill on="f" focussize="0,0"/>
                <v:stroke weight="3pt" color="#FF0000" joinstyle="round"/>
                <v:imagedata o:title=""/>
                <o:lock v:ext="edit" aspectratio="f"/>
              </v:line>
            </w:pict>
          </mc:Fallback>
        </mc:AlternateContent>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隰县行政审批服务管理局</w:t>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2022年政府信息公开工作报告年度</w:t>
      </w:r>
    </w:p>
    <w:p>
      <w:pPr>
        <w:ind w:firstLine="585"/>
        <w:rPr>
          <w:rFonts w:hint="default" w:ascii="微软雅黑" w:hAnsi="微软雅黑" w:eastAsia="微软雅黑" w:cs="微软雅黑"/>
          <w:i w:val="0"/>
          <w:iCs w:val="0"/>
          <w:caps w:val="0"/>
          <w:color w:val="000000"/>
          <w:spacing w:val="0"/>
          <w:sz w:val="32"/>
          <w:szCs w:val="32"/>
          <w:shd w:val="clear" w:fill="FFFFFF"/>
        </w:rPr>
      </w:pPr>
    </w:p>
    <w:p>
      <w:pPr>
        <w:pageBreakBefore w:val="0"/>
        <w:kinsoku/>
        <w:overflowPunct/>
        <w:topLinePunct w:val="0"/>
        <w:autoSpaceDE/>
        <w:autoSpaceDN/>
        <w:bidi w:val="0"/>
        <w:adjustRightInd/>
        <w:snapToGrid/>
        <w:spacing w:line="600" w:lineRule="exact"/>
        <w:ind w:left="0" w:firstLine="585"/>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根据中华人民共和国政府信息公开条例要求，按照</w:t>
      </w:r>
      <w:r>
        <w:rPr>
          <w:rFonts w:hint="eastAsia" w:ascii="仿宋" w:hAnsi="仿宋" w:eastAsia="仿宋" w:cs="仿宋"/>
          <w:i w:val="0"/>
          <w:iCs w:val="0"/>
          <w:caps w:val="0"/>
          <w:color w:val="000000"/>
          <w:spacing w:val="0"/>
          <w:sz w:val="32"/>
          <w:szCs w:val="32"/>
          <w:shd w:val="clear" w:fill="FFFFFF"/>
          <w:lang w:eastAsia="zh-CN"/>
        </w:rPr>
        <w:t>隰</w:t>
      </w:r>
      <w:r>
        <w:rPr>
          <w:rFonts w:hint="eastAsia" w:ascii="仿宋" w:hAnsi="仿宋" w:eastAsia="仿宋" w:cs="仿宋"/>
          <w:i w:val="0"/>
          <w:iCs w:val="0"/>
          <w:caps w:val="0"/>
          <w:color w:val="000000"/>
          <w:spacing w:val="0"/>
          <w:sz w:val="32"/>
          <w:szCs w:val="32"/>
          <w:shd w:val="clear" w:fill="FFFFFF"/>
        </w:rPr>
        <w:t>县人民政府办公室</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关于做好2022年度政府信息公开年度报告相关工作的通知</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文件精神，</w:t>
      </w:r>
      <w:r>
        <w:rPr>
          <w:rFonts w:hint="eastAsia" w:ascii="仿宋" w:hAnsi="仿宋" w:eastAsia="仿宋" w:cs="仿宋"/>
          <w:i w:val="0"/>
          <w:iCs w:val="0"/>
          <w:caps w:val="0"/>
          <w:color w:val="000000"/>
          <w:spacing w:val="0"/>
          <w:sz w:val="32"/>
          <w:szCs w:val="32"/>
          <w:shd w:val="clear" w:fill="FFFFFF"/>
          <w:lang w:val="en-US" w:eastAsia="zh-CN"/>
        </w:rPr>
        <w:t>隰</w:t>
      </w:r>
      <w:r>
        <w:rPr>
          <w:rFonts w:hint="eastAsia" w:ascii="仿宋" w:hAnsi="仿宋" w:eastAsia="仿宋" w:cs="仿宋"/>
          <w:i w:val="0"/>
          <w:iCs w:val="0"/>
          <w:caps w:val="0"/>
          <w:color w:val="000000"/>
          <w:spacing w:val="0"/>
          <w:sz w:val="32"/>
          <w:szCs w:val="32"/>
          <w:shd w:val="clear" w:fill="FFFFFF"/>
        </w:rPr>
        <w:t>县</w:t>
      </w:r>
      <w:r>
        <w:rPr>
          <w:rFonts w:hint="eastAsia" w:ascii="仿宋" w:hAnsi="仿宋" w:eastAsia="仿宋" w:cs="仿宋"/>
          <w:i w:val="0"/>
          <w:iCs w:val="0"/>
          <w:caps w:val="0"/>
          <w:color w:val="000000"/>
          <w:spacing w:val="0"/>
          <w:sz w:val="32"/>
          <w:szCs w:val="32"/>
          <w:shd w:val="clear" w:fill="FFFFFF"/>
          <w:lang w:val="en-US" w:eastAsia="zh-CN"/>
        </w:rPr>
        <w:t>行政审批服务管理</w:t>
      </w:r>
      <w:r>
        <w:rPr>
          <w:rFonts w:hint="eastAsia" w:ascii="仿宋" w:hAnsi="仿宋" w:eastAsia="仿宋" w:cs="仿宋"/>
          <w:i w:val="0"/>
          <w:iCs w:val="0"/>
          <w:caps w:val="0"/>
          <w:color w:val="000000"/>
          <w:spacing w:val="0"/>
          <w:sz w:val="32"/>
          <w:szCs w:val="32"/>
          <w:shd w:val="clear" w:fill="FFFFFF"/>
        </w:rPr>
        <w:t>局认真做好2022度政府部门信息公开工作报告编制工作。本年报中所列数据的统计期限自2022年1月1日起至2022年12月31日止。如对本年度报告有任何疑问，请联系：</w:t>
      </w:r>
      <w:r>
        <w:rPr>
          <w:rFonts w:hint="eastAsia" w:ascii="仿宋" w:hAnsi="仿宋" w:eastAsia="仿宋" w:cs="仿宋"/>
          <w:i w:val="0"/>
          <w:iCs w:val="0"/>
          <w:caps w:val="0"/>
          <w:color w:val="000000"/>
          <w:spacing w:val="0"/>
          <w:sz w:val="32"/>
          <w:szCs w:val="32"/>
          <w:shd w:val="clear" w:fill="FFFFFF"/>
          <w:lang w:val="en-US" w:eastAsia="zh-CN"/>
        </w:rPr>
        <w:t>隰</w:t>
      </w:r>
      <w:r>
        <w:rPr>
          <w:rFonts w:hint="eastAsia" w:ascii="仿宋" w:hAnsi="仿宋" w:eastAsia="仿宋" w:cs="仿宋"/>
          <w:i w:val="0"/>
          <w:iCs w:val="0"/>
          <w:caps w:val="0"/>
          <w:color w:val="000000"/>
          <w:spacing w:val="0"/>
          <w:sz w:val="32"/>
          <w:szCs w:val="32"/>
          <w:shd w:val="clear" w:fill="FFFFFF"/>
        </w:rPr>
        <w:t>县</w:t>
      </w:r>
      <w:r>
        <w:rPr>
          <w:rFonts w:hint="eastAsia" w:ascii="仿宋" w:hAnsi="仿宋" w:eastAsia="仿宋" w:cs="仿宋"/>
          <w:i w:val="0"/>
          <w:iCs w:val="0"/>
          <w:caps w:val="0"/>
          <w:color w:val="000000"/>
          <w:spacing w:val="0"/>
          <w:sz w:val="32"/>
          <w:szCs w:val="32"/>
          <w:shd w:val="clear" w:fill="FFFFFF"/>
          <w:lang w:val="en-US" w:eastAsia="zh-CN"/>
        </w:rPr>
        <w:t>行政审批服务管理</w:t>
      </w:r>
      <w:r>
        <w:rPr>
          <w:rFonts w:hint="eastAsia" w:ascii="仿宋" w:hAnsi="仿宋" w:eastAsia="仿宋" w:cs="仿宋"/>
          <w:i w:val="0"/>
          <w:iCs w:val="0"/>
          <w:caps w:val="0"/>
          <w:color w:val="000000"/>
          <w:spacing w:val="0"/>
          <w:sz w:val="32"/>
          <w:szCs w:val="32"/>
          <w:shd w:val="clear" w:fill="FFFFFF"/>
        </w:rPr>
        <w:t>局，电话：</w:t>
      </w:r>
      <w:r>
        <w:rPr>
          <w:rFonts w:hint="eastAsia" w:ascii="仿宋" w:hAnsi="仿宋" w:eastAsia="仿宋" w:cs="仿宋"/>
          <w:i w:val="0"/>
          <w:iCs w:val="0"/>
          <w:caps w:val="0"/>
          <w:color w:val="000000"/>
          <w:spacing w:val="0"/>
          <w:sz w:val="32"/>
          <w:szCs w:val="32"/>
          <w:shd w:val="clear" w:fill="FFFFFF"/>
          <w:lang w:val="en-US" w:eastAsia="zh-CN"/>
        </w:rPr>
        <w:t>0357--6170999</w:t>
      </w:r>
      <w:r>
        <w:rPr>
          <w:rFonts w:hint="eastAsia" w:ascii="仿宋" w:hAnsi="仿宋" w:eastAsia="仿宋" w:cs="仿宋"/>
          <w:i w:val="0"/>
          <w:iCs w:val="0"/>
          <w:caps w:val="0"/>
          <w:color w:val="000000"/>
          <w:spacing w:val="0"/>
          <w:sz w:val="32"/>
          <w:szCs w:val="32"/>
          <w:shd w:val="clear" w:fill="FFFFFF"/>
        </w:rPr>
        <w:t>。</w:t>
      </w:r>
    </w:p>
    <w:p>
      <w:pPr>
        <w:pStyle w:val="4"/>
        <w:pageBreakBefore w:val="0"/>
        <w:numPr>
          <w:ilvl w:val="0"/>
          <w:numId w:val="0"/>
        </w:numPr>
        <w:kinsoku/>
        <w:overflowPunct/>
        <w:topLinePunct w:val="0"/>
        <w:autoSpaceDE/>
        <w:autoSpaceDN/>
        <w:bidi w:val="0"/>
        <w:adjustRightInd/>
        <w:snapToGrid/>
        <w:spacing w:before="0" w:beforeLines="0" w:after="0" w:afterLines="0" w:line="600" w:lineRule="exact"/>
        <w:ind w:leftChars="0" w:firstLine="640" w:firstLineChars="200"/>
        <w:textAlignment w:val="auto"/>
        <w:rPr>
          <w:rFonts w:hint="eastAsia" w:ascii="黑体" w:hAnsi="黑体" w:eastAsia="黑体" w:cs="黑体"/>
          <w:b w:val="0"/>
          <w:bCs/>
        </w:rPr>
      </w:pPr>
      <w:r>
        <w:rPr>
          <w:rFonts w:hint="eastAsia" w:ascii="黑体" w:hAnsi="黑体" w:eastAsia="黑体" w:cs="黑体"/>
          <w:b w:val="0"/>
          <w:bCs/>
          <w:lang w:val="en-US" w:eastAsia="zh-CN"/>
        </w:rPr>
        <w:t>一、总体情况</w:t>
      </w:r>
    </w:p>
    <w:p>
      <w:pPr>
        <w:pageBreakBefore w:val="0"/>
        <w:numPr>
          <w:ilvl w:val="0"/>
          <w:numId w:val="0"/>
        </w:numPr>
        <w:kinsoku/>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2022年，</w:t>
      </w:r>
      <w:r>
        <w:rPr>
          <w:rFonts w:hint="eastAsia" w:ascii="仿宋" w:hAnsi="仿宋" w:eastAsia="仿宋" w:cs="仿宋"/>
          <w:i w:val="0"/>
          <w:iCs w:val="0"/>
          <w:caps w:val="0"/>
          <w:color w:val="000000"/>
          <w:spacing w:val="0"/>
          <w:sz w:val="32"/>
          <w:szCs w:val="32"/>
          <w:shd w:val="clear" w:fill="FFFFFF"/>
          <w:lang w:val="en-US" w:eastAsia="zh-CN"/>
        </w:rPr>
        <w:t>隰</w:t>
      </w:r>
      <w:r>
        <w:rPr>
          <w:rFonts w:hint="eastAsia" w:ascii="仿宋" w:hAnsi="仿宋" w:eastAsia="仿宋" w:cs="仿宋"/>
          <w:i w:val="0"/>
          <w:iCs w:val="0"/>
          <w:caps w:val="0"/>
          <w:color w:val="000000"/>
          <w:spacing w:val="0"/>
          <w:sz w:val="32"/>
          <w:szCs w:val="32"/>
          <w:shd w:val="clear" w:fill="FFFFFF"/>
        </w:rPr>
        <w:t>县</w:t>
      </w:r>
      <w:r>
        <w:rPr>
          <w:rFonts w:hint="eastAsia" w:ascii="仿宋" w:hAnsi="仿宋" w:eastAsia="仿宋" w:cs="仿宋"/>
          <w:i w:val="0"/>
          <w:iCs w:val="0"/>
          <w:caps w:val="0"/>
          <w:color w:val="000000"/>
          <w:spacing w:val="0"/>
          <w:sz w:val="32"/>
          <w:szCs w:val="32"/>
          <w:shd w:val="clear" w:fill="FFFFFF"/>
          <w:lang w:eastAsia="zh-CN"/>
        </w:rPr>
        <w:t>行政</w:t>
      </w:r>
      <w:r>
        <w:rPr>
          <w:rFonts w:hint="eastAsia" w:ascii="仿宋" w:hAnsi="仿宋" w:eastAsia="仿宋" w:cs="仿宋"/>
          <w:i w:val="0"/>
          <w:iCs w:val="0"/>
          <w:caps w:val="0"/>
          <w:color w:val="000000"/>
          <w:spacing w:val="0"/>
          <w:sz w:val="32"/>
          <w:szCs w:val="32"/>
          <w:shd w:val="clear" w:fill="FFFFFF"/>
          <w:lang w:val="en-US" w:eastAsia="zh-CN"/>
        </w:rPr>
        <w:t>审批</w:t>
      </w:r>
      <w:r>
        <w:rPr>
          <w:rFonts w:hint="eastAsia" w:ascii="仿宋" w:hAnsi="仿宋" w:eastAsia="仿宋" w:cs="仿宋"/>
          <w:i w:val="0"/>
          <w:iCs w:val="0"/>
          <w:caps w:val="0"/>
          <w:color w:val="000000"/>
          <w:spacing w:val="0"/>
          <w:sz w:val="32"/>
          <w:szCs w:val="32"/>
          <w:shd w:val="clear" w:fill="FFFFFF"/>
        </w:rPr>
        <w:t xml:space="preserve">局认真贯彻落实县政府关于政府信息公开工作的有关要求，遵循合法、准确、及时、便民的原则，扎实推进政府信息公开工作，工作机制进一步完善，制度建设进一步加强，公开内容和形式进一步深化。主要做了以下几方面工作： </w:t>
      </w:r>
    </w:p>
    <w:p>
      <w:pPr>
        <w:pageBreakBefore w:val="0"/>
        <w:numPr>
          <w:ilvl w:val="0"/>
          <w:numId w:val="0"/>
        </w:numPr>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lang w:val="en-US" w:eastAsia="zh-CN"/>
        </w:rPr>
        <w:t>（一）健全组织，</w:t>
      </w:r>
      <w:r>
        <w:rPr>
          <w:rFonts w:hint="eastAsia" w:ascii="楷体" w:hAnsi="楷体" w:eastAsia="楷体" w:cs="楷体"/>
          <w:b/>
          <w:bCs/>
          <w:i w:val="0"/>
          <w:iCs w:val="0"/>
          <w:caps w:val="0"/>
          <w:color w:val="000000"/>
          <w:spacing w:val="0"/>
          <w:sz w:val="32"/>
          <w:szCs w:val="32"/>
          <w:shd w:val="clear" w:fill="FFFFFF"/>
        </w:rPr>
        <w:t>强化</w:t>
      </w:r>
      <w:r>
        <w:rPr>
          <w:rFonts w:hint="eastAsia" w:ascii="楷体" w:hAnsi="楷体" w:eastAsia="楷体" w:cs="楷体"/>
          <w:b/>
          <w:bCs/>
          <w:i w:val="0"/>
          <w:iCs w:val="0"/>
          <w:caps w:val="0"/>
          <w:color w:val="000000"/>
          <w:spacing w:val="0"/>
          <w:sz w:val="32"/>
          <w:szCs w:val="32"/>
          <w:shd w:val="clear" w:fill="FFFFFF"/>
          <w:lang w:val="en-US" w:eastAsia="zh-CN"/>
        </w:rPr>
        <w:t>责任意识</w:t>
      </w:r>
      <w:r>
        <w:rPr>
          <w:rFonts w:hint="eastAsia" w:ascii="楷体" w:hAnsi="楷体" w:eastAsia="楷体" w:cs="楷体"/>
          <w:b/>
          <w:bCs/>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我局高度重视政府信息公开工作将政府信息公开作为一项重要工作与其他工作同部署、同落实、同检查。成立了由</w:t>
      </w:r>
      <w:r>
        <w:rPr>
          <w:rFonts w:hint="eastAsia" w:ascii="仿宋" w:hAnsi="仿宋" w:eastAsia="仿宋" w:cs="仿宋"/>
          <w:i w:val="0"/>
          <w:iCs w:val="0"/>
          <w:caps w:val="0"/>
          <w:color w:val="000000"/>
          <w:spacing w:val="0"/>
          <w:sz w:val="32"/>
          <w:szCs w:val="32"/>
          <w:shd w:val="clear" w:fill="FFFFFF"/>
          <w:lang w:val="en-US" w:eastAsia="zh-CN"/>
        </w:rPr>
        <w:t>梁云云</w:t>
      </w:r>
      <w:r>
        <w:rPr>
          <w:rFonts w:hint="eastAsia" w:ascii="仿宋" w:hAnsi="仿宋" w:eastAsia="仿宋" w:cs="仿宋"/>
          <w:i w:val="0"/>
          <w:iCs w:val="0"/>
          <w:caps w:val="0"/>
          <w:color w:val="000000"/>
          <w:spacing w:val="0"/>
          <w:sz w:val="32"/>
          <w:szCs w:val="32"/>
          <w:shd w:val="clear" w:fill="FFFFFF"/>
        </w:rPr>
        <w:t>局长任组长，</w:t>
      </w:r>
      <w:r>
        <w:rPr>
          <w:rFonts w:hint="eastAsia" w:ascii="仿宋" w:hAnsi="仿宋" w:eastAsia="仿宋" w:cs="仿宋"/>
          <w:i w:val="0"/>
          <w:iCs w:val="0"/>
          <w:caps w:val="0"/>
          <w:color w:val="000000"/>
          <w:spacing w:val="0"/>
          <w:sz w:val="32"/>
          <w:szCs w:val="32"/>
          <w:shd w:val="clear" w:fill="FFFFFF"/>
          <w:lang w:val="en-US" w:eastAsia="zh-CN"/>
        </w:rPr>
        <w:t>各</w:t>
      </w:r>
      <w:r>
        <w:rPr>
          <w:rFonts w:hint="eastAsia" w:ascii="仿宋" w:hAnsi="仿宋" w:eastAsia="仿宋" w:cs="仿宋"/>
          <w:i w:val="0"/>
          <w:iCs w:val="0"/>
          <w:caps w:val="0"/>
          <w:color w:val="000000"/>
          <w:spacing w:val="0"/>
          <w:sz w:val="32"/>
          <w:szCs w:val="32"/>
          <w:shd w:val="clear" w:fill="FFFFFF"/>
        </w:rPr>
        <w:t>股室负责人</w:t>
      </w:r>
      <w:r>
        <w:rPr>
          <w:rFonts w:hint="eastAsia" w:ascii="仿宋" w:hAnsi="仿宋" w:eastAsia="仿宋" w:cs="仿宋"/>
          <w:i w:val="0"/>
          <w:iCs w:val="0"/>
          <w:caps w:val="0"/>
          <w:color w:val="000000"/>
          <w:spacing w:val="0"/>
          <w:sz w:val="32"/>
          <w:szCs w:val="32"/>
          <w:shd w:val="clear" w:fill="FFFFFF"/>
          <w:lang w:val="en-US" w:eastAsia="zh-CN"/>
        </w:rPr>
        <w:t>为成员</w:t>
      </w:r>
      <w:r>
        <w:rPr>
          <w:rFonts w:hint="eastAsia" w:ascii="仿宋" w:hAnsi="仿宋" w:eastAsia="仿宋" w:cs="仿宋"/>
          <w:i w:val="0"/>
          <w:iCs w:val="0"/>
          <w:caps w:val="0"/>
          <w:color w:val="000000"/>
          <w:spacing w:val="0"/>
          <w:sz w:val="32"/>
          <w:szCs w:val="32"/>
          <w:shd w:val="clear" w:fill="FFFFFF"/>
        </w:rPr>
        <w:t>组成的领导小组</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确保政府信息公开有关部署和要求得到有效落实。</w:t>
      </w:r>
    </w:p>
    <w:p>
      <w:pPr>
        <w:pageBreakBefore w:val="0"/>
        <w:numPr>
          <w:ilvl w:val="0"/>
          <w:numId w:val="0"/>
        </w:numPr>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（二）健全制度，加强规范管理。</w:t>
      </w:r>
      <w:r>
        <w:rPr>
          <w:rFonts w:hint="eastAsia" w:ascii="仿宋" w:hAnsi="仿宋" w:eastAsia="仿宋" w:cs="仿宋"/>
          <w:i w:val="0"/>
          <w:iCs w:val="0"/>
          <w:caps w:val="0"/>
          <w:color w:val="000000"/>
          <w:spacing w:val="0"/>
          <w:sz w:val="32"/>
          <w:szCs w:val="32"/>
          <w:shd w:val="clear" w:fill="FFFFFF"/>
        </w:rPr>
        <w:t>完善了政府信息公开</w:t>
      </w:r>
      <w:r>
        <w:rPr>
          <w:rFonts w:hint="eastAsia" w:ascii="仿宋" w:hAnsi="仿宋" w:eastAsia="仿宋" w:cs="仿宋"/>
          <w:i w:val="0"/>
          <w:iCs w:val="0"/>
          <w:caps w:val="0"/>
          <w:color w:val="000000"/>
          <w:spacing w:val="0"/>
          <w:sz w:val="32"/>
          <w:szCs w:val="32"/>
          <w:shd w:val="clear" w:fill="FFFFFF"/>
          <w:lang w:val="en-US" w:eastAsia="zh-CN"/>
        </w:rPr>
        <w:t>责任</w:t>
      </w:r>
      <w:r>
        <w:rPr>
          <w:rFonts w:hint="eastAsia" w:ascii="仿宋" w:hAnsi="仿宋" w:eastAsia="仿宋" w:cs="仿宋"/>
          <w:i w:val="0"/>
          <w:iCs w:val="0"/>
          <w:caps w:val="0"/>
          <w:color w:val="000000"/>
          <w:spacing w:val="0"/>
          <w:sz w:val="32"/>
          <w:szCs w:val="32"/>
          <w:shd w:val="clear" w:fill="FFFFFF"/>
        </w:rPr>
        <w:t>制度</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明确领导和各股室的工作责任，形成自上而下，责任清晰、分头抓落实的工作格局完善政府信息主动公开制度、依申请公开制度、信息公开保密审查制度、公文类信息公开发布制度等相关制度。对单位信息公开内容进行严格审议，确保公开内容的合法性、真实性；积极做好信息公开反馈工作。</w:t>
      </w:r>
    </w:p>
    <w:p>
      <w:pPr>
        <w:pageBreakBefore w:val="0"/>
        <w:numPr>
          <w:ilvl w:val="0"/>
          <w:numId w:val="0"/>
        </w:numPr>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eastAsia="zh-CN"/>
        </w:rPr>
        <w:t>（</w:t>
      </w:r>
      <w:r>
        <w:rPr>
          <w:rFonts w:hint="eastAsia" w:ascii="楷体" w:hAnsi="楷体" w:eastAsia="楷体" w:cs="楷体"/>
          <w:b/>
          <w:bCs/>
          <w:i w:val="0"/>
          <w:iCs w:val="0"/>
          <w:caps w:val="0"/>
          <w:color w:val="000000"/>
          <w:spacing w:val="0"/>
          <w:sz w:val="32"/>
          <w:szCs w:val="32"/>
          <w:shd w:val="clear" w:fill="FFFFFF"/>
          <w:lang w:val="en-US" w:eastAsia="zh-CN"/>
        </w:rPr>
        <w:t>三</w:t>
      </w:r>
      <w:r>
        <w:rPr>
          <w:rFonts w:hint="eastAsia" w:ascii="楷体" w:hAnsi="楷体" w:eastAsia="楷体" w:cs="楷体"/>
          <w:b/>
          <w:bCs/>
          <w:i w:val="0"/>
          <w:iCs w:val="0"/>
          <w:caps w:val="0"/>
          <w:color w:val="000000"/>
          <w:spacing w:val="0"/>
          <w:sz w:val="32"/>
          <w:szCs w:val="32"/>
          <w:shd w:val="clear" w:fill="FFFFFF"/>
          <w:lang w:eastAsia="zh-CN"/>
        </w:rPr>
        <w:t>）</w:t>
      </w:r>
      <w:r>
        <w:rPr>
          <w:rFonts w:hint="eastAsia" w:ascii="楷体" w:hAnsi="楷体" w:eastAsia="楷体" w:cs="楷体"/>
          <w:b/>
          <w:bCs/>
          <w:i w:val="0"/>
          <w:iCs w:val="0"/>
          <w:caps w:val="0"/>
          <w:color w:val="000000"/>
          <w:spacing w:val="0"/>
          <w:sz w:val="32"/>
          <w:szCs w:val="32"/>
          <w:shd w:val="clear" w:fill="FFFFFF"/>
          <w:lang w:val="en-US" w:eastAsia="zh-CN"/>
        </w:rPr>
        <w:t>立足实际，及时更新信息。</w:t>
      </w:r>
      <w:r>
        <w:rPr>
          <w:rFonts w:hint="eastAsia" w:ascii="仿宋" w:hAnsi="仿宋" w:eastAsia="仿宋" w:cs="仿宋"/>
          <w:i w:val="0"/>
          <w:iCs w:val="0"/>
          <w:caps w:val="0"/>
          <w:color w:val="000000"/>
          <w:spacing w:val="0"/>
          <w:sz w:val="32"/>
          <w:szCs w:val="32"/>
          <w:shd w:val="clear" w:fill="FFFFFF"/>
          <w:lang w:val="en-US" w:eastAsia="zh-CN"/>
        </w:rPr>
        <w:t>根据《政府信息公开条例》和县政府网站统一部署对我单位信息公开内容进行登记、确认。立足本单位实际，以社会发展为出发点，更新了信息公开目录和政务信息公开指南。</w:t>
      </w:r>
    </w:p>
    <w:p>
      <w:pPr>
        <w:pageBreakBefore w:val="0"/>
        <w:numPr>
          <w:ilvl w:val="0"/>
          <w:numId w:val="0"/>
        </w:numPr>
        <w:kinsoku/>
        <w:overflowPunct/>
        <w:topLinePunct w:val="0"/>
        <w:autoSpaceDE/>
        <w:autoSpaceDN/>
        <w:bidi w:val="0"/>
        <w:adjustRightInd/>
        <w:snapToGrid/>
        <w:spacing w:line="600" w:lineRule="exact"/>
        <w:ind w:firstLine="643"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（四）多措并举，拓开公开渠道。</w:t>
      </w:r>
      <w:r>
        <w:rPr>
          <w:rFonts w:hint="eastAsia" w:ascii="仿宋" w:hAnsi="仿宋" w:eastAsia="仿宋" w:cs="仿宋"/>
          <w:i w:val="0"/>
          <w:iCs w:val="0"/>
          <w:caps w:val="0"/>
          <w:color w:val="000000"/>
          <w:spacing w:val="0"/>
          <w:sz w:val="32"/>
          <w:szCs w:val="32"/>
          <w:shd w:val="clear" w:fill="FFFFFF"/>
          <w:lang w:val="en-US" w:eastAsia="zh-CN"/>
        </w:rPr>
        <w:t>1、通过网络、简报、媒体等手段使社会公众全方位了解政府信息公开情况。2、及时发布便民服务内容，更新各类办事指南、文件表格等信息。</w:t>
      </w:r>
    </w:p>
    <w:p>
      <w:pPr>
        <w:pStyle w:val="5"/>
        <w:pageBreakBefore w:val="0"/>
        <w:kinsoku/>
        <w:overflowPunct/>
        <w:topLinePunct w:val="0"/>
        <w:autoSpaceDE/>
        <w:autoSpaceDN/>
        <w:bidi w:val="0"/>
        <w:adjustRightInd/>
        <w:snapToGrid/>
        <w:spacing w:before="0" w:beforeLines="0" w:after="0" w:afterLines="0" w:line="600" w:lineRule="exact"/>
        <w:ind w:left="0"/>
        <w:textAlignment w:val="auto"/>
        <w:rPr>
          <w:rFonts w:hint="eastAsia" w:ascii="仿宋" w:hAnsi="仿宋" w:eastAsia="仿宋" w:cs="仿宋"/>
          <w:i w:val="0"/>
          <w:iCs w:val="0"/>
          <w:caps w:val="0"/>
          <w:color w:val="454545"/>
          <w:spacing w:val="0"/>
          <w:sz w:val="21"/>
          <w:szCs w:val="21"/>
        </w:rPr>
      </w:pPr>
      <w:r>
        <w:rPr>
          <w:rFonts w:hint="eastAsia" w:ascii="仿宋" w:hAnsi="仿宋" w:eastAsia="仿宋" w:cs="仿宋"/>
        </w:rPr>
        <w:t> </w:t>
      </w:r>
      <w:r>
        <w:rPr>
          <w:rFonts w:hint="eastAsia" w:ascii="仿宋" w:hAnsi="仿宋" w:eastAsia="仿宋" w:cs="仿宋"/>
          <w:lang w:val="en-US" w:eastAsia="zh-CN"/>
        </w:rPr>
        <w:t xml:space="preserve">    </w:t>
      </w:r>
      <w:r>
        <w:rPr>
          <w:rFonts w:hint="eastAsia" w:ascii="黑体" w:hAnsi="黑体" w:eastAsia="黑体" w:cs="黑体"/>
          <w:b w:val="0"/>
          <w:bCs/>
          <w:sz w:val="32"/>
          <w:szCs w:val="32"/>
        </w:rPr>
        <w:t>二、主动公开政府信息情况　 </w:t>
      </w:r>
      <w:r>
        <w:rPr>
          <w:rFonts w:hint="eastAsia" w:ascii="仿宋" w:hAnsi="仿宋" w:eastAsia="仿宋" w:cs="仿宋"/>
          <w:i w:val="0"/>
          <w:iCs w:val="0"/>
          <w:caps w:val="0"/>
          <w:color w:val="454545"/>
          <w:spacing w:val="0"/>
          <w:sz w:val="21"/>
          <w:szCs w:val="21"/>
          <w:shd w:val="clear" w:fill="FFFFFF"/>
        </w:rPr>
        <w:t>　　</w:t>
      </w:r>
    </w:p>
    <w:tbl>
      <w:tblPr>
        <w:tblStyle w:val="10"/>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84"/>
        <w:gridCol w:w="2109"/>
        <w:gridCol w:w="2109"/>
        <w:gridCol w:w="21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895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信息内容</w:t>
            </w:r>
          </w:p>
        </w:tc>
        <w:tc>
          <w:tcPr>
            <w:tcW w:w="223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本年制发件数</w:t>
            </w:r>
          </w:p>
        </w:tc>
        <w:tc>
          <w:tcPr>
            <w:tcW w:w="223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本年废止件数</w:t>
            </w:r>
          </w:p>
        </w:tc>
        <w:tc>
          <w:tcPr>
            <w:tcW w:w="223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规章</w:t>
            </w:r>
          </w:p>
        </w:tc>
        <w:tc>
          <w:tcPr>
            <w:tcW w:w="223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223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223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行政规范性文件</w:t>
            </w:r>
          </w:p>
        </w:tc>
        <w:tc>
          <w:tcPr>
            <w:tcW w:w="223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0</w:t>
            </w:r>
          </w:p>
        </w:tc>
        <w:tc>
          <w:tcPr>
            <w:tcW w:w="223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223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895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信息内容</w:t>
            </w:r>
          </w:p>
        </w:tc>
        <w:tc>
          <w:tcPr>
            <w:tcW w:w="672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行政许可</w:t>
            </w:r>
          </w:p>
        </w:tc>
        <w:tc>
          <w:tcPr>
            <w:tcW w:w="672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2779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895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信息内容</w:t>
            </w:r>
          </w:p>
        </w:tc>
        <w:tc>
          <w:tcPr>
            <w:tcW w:w="6720"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行政处罚</w:t>
            </w:r>
          </w:p>
        </w:tc>
        <w:tc>
          <w:tcPr>
            <w:tcW w:w="672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行政强制</w:t>
            </w:r>
          </w:p>
        </w:tc>
        <w:tc>
          <w:tcPr>
            <w:tcW w:w="672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895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信息内容</w:t>
            </w:r>
          </w:p>
        </w:tc>
        <w:tc>
          <w:tcPr>
            <w:tcW w:w="6720"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223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行政事业性收费</w:t>
            </w:r>
          </w:p>
        </w:tc>
        <w:tc>
          <w:tcPr>
            <w:tcW w:w="6720"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0" w:firstLineChars="200"/>
        <w:textAlignment w:val="auto"/>
        <w:rPr>
          <w:rStyle w:val="12"/>
          <w:rFonts w:hint="eastAsia" w:ascii="黑体" w:hAnsi="黑体" w:eastAsia="黑体" w:cs="黑体"/>
          <w:b w:val="0"/>
          <w:bCs/>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0" w:firstLineChars="200"/>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三、收到和处理政府信息公开申请情况</w:t>
      </w:r>
    </w:p>
    <w:tbl>
      <w:tblPr>
        <w:tblStyle w:val="10"/>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42"/>
        <w:gridCol w:w="818"/>
        <w:gridCol w:w="1945"/>
        <w:gridCol w:w="674"/>
        <w:gridCol w:w="652"/>
        <w:gridCol w:w="640"/>
        <w:gridCol w:w="774"/>
        <w:gridCol w:w="774"/>
        <w:gridCol w:w="640"/>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gridSpan w:val="3"/>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（本列数据的勾稽关系为：第一项加第二项之和，等于第三项加第四项之和）</w:t>
            </w:r>
          </w:p>
        </w:tc>
        <w:tc>
          <w:tcPr>
            <w:tcW w:w="4806" w:type="dxa"/>
            <w:gridSpan w:val="7"/>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gridSpan w:val="3"/>
            <w:vMerge w:val="continue"/>
            <w:shd w:val="clear" w:color="auto" w:fill="auto"/>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674" w:type="dxa"/>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自然人</w:t>
            </w:r>
          </w:p>
        </w:tc>
        <w:tc>
          <w:tcPr>
            <w:tcW w:w="3480" w:type="dxa"/>
            <w:gridSpan w:val="5"/>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法人或其他组织</w:t>
            </w:r>
          </w:p>
        </w:tc>
        <w:tc>
          <w:tcPr>
            <w:tcW w:w="652" w:type="dxa"/>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gridSpan w:val="3"/>
            <w:vMerge w:val="continue"/>
            <w:shd w:val="clear" w:color="auto" w:fill="auto"/>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674" w:type="dxa"/>
            <w:vMerge w:val="continue"/>
            <w:shd w:val="clear" w:color="auto" w:fill="auto"/>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商业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企业</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科研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机构</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社会公益组织</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法律服务机构</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其他</w:t>
            </w:r>
          </w:p>
        </w:tc>
        <w:tc>
          <w:tcPr>
            <w:tcW w:w="652" w:type="dxa"/>
            <w:vMerge w:val="continue"/>
            <w:shd w:val="clear" w:color="auto" w:fill="auto"/>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gridSpan w:val="3"/>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一、本年新收政府信息公开申请数量</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gridSpan w:val="3"/>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二、上年结转政府信息公开申请数量</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w:t>
            </w:r>
            <w:r>
              <w:rPr>
                <w:rFonts w:hint="eastAsia" w:ascii="仿宋" w:hAnsi="仿宋" w:eastAsia="仿宋" w:cs="仿宋"/>
                <w:color w:val="000000" w:themeColor="text1"/>
                <w:sz w:val="21"/>
                <w:szCs w:val="21"/>
                <w14:textFill>
                  <w14:solidFill>
                    <w14:schemeClr w14:val="tx1"/>
                  </w14:solidFill>
                </w14:textFill>
              </w:rPr>
              <w:t> </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三、本年度办理结果</w:t>
            </w:r>
          </w:p>
        </w:tc>
        <w:tc>
          <w:tcPr>
            <w:tcW w:w="0" w:type="auto"/>
            <w:gridSpan w:val="2"/>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（一）予以公开</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gridSpan w:val="2"/>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（二）部分公开（区分处理的，只计这一情形，不计其他情形）</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（三）不予公开</w:t>
            </w: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1.属于国家秘密</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2.其他法律行政法规禁止公开</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3.危及“三安全一稳定”</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4.保护第三方合法权益</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5.属于三类内部事务信息</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6.属于四类过程性信息</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7.属于行政执法案卷</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8.属于行政查询事项</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（四）无法提供</w:t>
            </w: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1.本机关不掌握相关政府信息</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40"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2.没有现成信息需要另行制作</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3.补正后申请内容仍不明确</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（五）不予处理</w:t>
            </w: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1.信访举报投诉类申请</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2.重复申请</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w:t>
            </w:r>
            <w:r>
              <w:rPr>
                <w:rFonts w:hint="eastAsia" w:ascii="仿宋" w:hAnsi="仿宋" w:eastAsia="仿宋" w:cs="仿宋"/>
                <w:color w:val="000000" w:themeColor="text1"/>
                <w:sz w:val="21"/>
                <w:szCs w:val="21"/>
                <w:lang w:val="en-US" w:eastAsia="zh-CN"/>
                <w14:textFill>
                  <w14:solidFill>
                    <w14:schemeClr w14:val="tx1"/>
                  </w14:solidFill>
                </w14:textFill>
              </w:rPr>
              <w:t>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1" w:hRule="atLeast"/>
        </w:trPr>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3.要求提供公开出版物</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4.无正当理由大量反复申请</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5.要求行政机关确认或重新出具已获取信息</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restart"/>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（六）其他处理</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1.申请人无正当理由逾期不补正、行政机关不再处理其政府信息公开申请</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2.申请人逾期未按收费通知要求缴纳费用、行政机关不再处理其政府信息公开申请</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3.其他</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vMerge w:val="continue"/>
            <w:shd w:val="clear" w:color="auto" w:fill="auto"/>
            <w:vAlign w:val="center"/>
          </w:tcPr>
          <w:p>
            <w:pPr>
              <w:keepNext w:val="0"/>
              <w:keepLines w:val="0"/>
              <w:pageBreakBefore w:val="0"/>
              <w:kinsoku/>
              <w:overflowPunct/>
              <w:topLinePunct w:val="0"/>
              <w:autoSpaceDE/>
              <w:autoSpaceDN/>
              <w:bidi w:val="0"/>
              <w:adjustRightInd/>
              <w:snapToGrid/>
              <w:spacing w:line="360" w:lineRule="auto"/>
              <w:ind w:left="0"/>
              <w:textAlignment w:val="auto"/>
              <w:rPr>
                <w:rFonts w:hint="eastAsia" w:ascii="仿宋" w:hAnsi="仿宋" w:eastAsia="仿宋" w:cs="仿宋"/>
                <w:color w:val="000000" w:themeColor="text1"/>
                <w:sz w:val="21"/>
                <w:szCs w:val="21"/>
                <w14:textFill>
                  <w14:solidFill>
                    <w14:schemeClr w14:val="tx1"/>
                  </w14:solidFill>
                </w14:textFill>
              </w:rPr>
            </w:pPr>
          </w:p>
        </w:tc>
        <w:tc>
          <w:tcPr>
            <w:tcW w:w="0" w:type="auto"/>
            <w:gridSpan w:val="2"/>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（七）总计</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640"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0" w:type="auto"/>
            <w:gridSpan w:val="3"/>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四、结转下年度继续办理</w:t>
            </w:r>
          </w:p>
        </w:tc>
        <w:tc>
          <w:tcPr>
            <w:tcW w:w="674"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0 </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0" w:type="auto"/>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c>
          <w:tcPr>
            <w:tcW w:w="652" w:type="dxa"/>
            <w:shd w:val="clear" w:color="auto" w:fill="auto"/>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 0</w:t>
            </w: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Chars="200" w:right="0" w:rightChars="0"/>
        <w:textAlignment w:val="auto"/>
        <w:rPr>
          <w:rStyle w:val="13"/>
          <w:rFonts w:hint="eastAsia" w:ascii="黑体" w:hAnsi="黑体" w:eastAsia="黑体" w:cs="黑体"/>
          <w:b w:val="0"/>
          <w:bCs/>
          <w:sz w:val="32"/>
          <w:szCs w:val="32"/>
        </w:rPr>
      </w:pP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Style w:val="13"/>
          <w:rFonts w:hint="eastAsia" w:ascii="黑体" w:hAnsi="黑体" w:eastAsia="黑体" w:cs="黑体"/>
          <w:b w:val="0"/>
          <w:bCs/>
          <w:sz w:val="32"/>
          <w:szCs w:val="32"/>
        </w:rPr>
      </w:pPr>
      <w:r>
        <w:rPr>
          <w:rStyle w:val="13"/>
          <w:rFonts w:hint="eastAsia" w:ascii="黑体" w:hAnsi="黑体" w:eastAsia="黑体" w:cs="黑体"/>
          <w:b w:val="0"/>
          <w:bCs/>
          <w:sz w:val="32"/>
          <w:szCs w:val="32"/>
        </w:rPr>
        <w:t>政府信息公开行政复议、行政诉讼情况</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Chars="200" w:right="0" w:rightChars="0"/>
        <w:textAlignment w:val="auto"/>
        <w:rPr>
          <w:rStyle w:val="13"/>
          <w:rFonts w:hint="eastAsia" w:ascii="黑体" w:hAnsi="黑体" w:eastAsia="黑体" w:cs="黑体"/>
          <w:b w:val="0"/>
          <w:bCs/>
          <w:sz w:val="32"/>
          <w:szCs w:val="32"/>
        </w:rPr>
      </w:pPr>
    </w:p>
    <w:tbl>
      <w:tblPr>
        <w:tblStyle w:val="10"/>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75"/>
        <w:gridCol w:w="538"/>
        <w:gridCol w:w="539"/>
        <w:gridCol w:w="539"/>
        <w:gridCol w:w="539"/>
        <w:gridCol w:w="539"/>
        <w:gridCol w:w="539"/>
        <w:gridCol w:w="539"/>
        <w:gridCol w:w="539"/>
        <w:gridCol w:w="539"/>
        <w:gridCol w:w="539"/>
        <w:gridCol w:w="539"/>
        <w:gridCol w:w="539"/>
        <w:gridCol w:w="539"/>
        <w:gridCol w:w="7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PrEx>
        <w:trPr>
          <w:jc w:val="center"/>
        </w:trPr>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行政复议</w:t>
            </w:r>
          </w:p>
        </w:tc>
        <w:tc>
          <w:tcPr>
            <w:tcW w:w="0" w:type="auto"/>
            <w:gridSpan w:val="10"/>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结果维持</w:t>
            </w:r>
          </w:p>
        </w:tc>
        <w:tc>
          <w:tcPr>
            <w:tcW w:w="0" w:type="auto"/>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纠正</w:t>
            </w:r>
          </w:p>
        </w:tc>
        <w:tc>
          <w:tcPr>
            <w:tcW w:w="0" w:type="auto"/>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其他</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p>
        </w:tc>
        <w:tc>
          <w:tcPr>
            <w:tcW w:w="0" w:type="auto"/>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尚未</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审结</w:t>
            </w:r>
          </w:p>
        </w:tc>
        <w:tc>
          <w:tcPr>
            <w:tcW w:w="0" w:type="auto"/>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总计</w:t>
            </w:r>
          </w:p>
        </w:tc>
        <w:tc>
          <w:tcPr>
            <w:tcW w:w="0" w:type="auto"/>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未经复议直接起诉</w:t>
            </w:r>
          </w:p>
        </w:tc>
        <w:tc>
          <w:tcPr>
            <w:tcW w:w="0" w:type="auto"/>
            <w:gridSpan w:val="5"/>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0" w:type="auto"/>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p>
        </w:tc>
        <w:tc>
          <w:tcPr>
            <w:tcW w:w="0" w:type="auto"/>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p>
        </w:tc>
        <w:tc>
          <w:tcPr>
            <w:tcW w:w="0" w:type="auto"/>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p>
        </w:tc>
        <w:tc>
          <w:tcPr>
            <w:tcW w:w="0" w:type="auto"/>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p>
        </w:tc>
        <w:tc>
          <w:tcPr>
            <w:tcW w:w="0" w:type="auto"/>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ageBreakBefore w:val="0"/>
              <w:kinsoku/>
              <w:overflowPunct/>
              <w:topLinePunct w:val="0"/>
              <w:autoSpaceDE/>
              <w:autoSpaceDN/>
              <w:bidi w:val="0"/>
              <w:adjustRightInd/>
              <w:snapToGrid/>
              <w:spacing w:line="600" w:lineRule="exact"/>
              <w:ind w:left="0"/>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维持</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纠正</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其他</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尚未</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审结</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总计</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维持</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纠正</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其他</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结果</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尚未</w:t>
            </w:r>
            <w:r>
              <w:rPr>
                <w:rFonts w:hint="eastAsia" w:ascii="仿宋" w:hAnsi="仿宋" w:eastAsia="仿宋" w:cs="仿宋"/>
                <w:i w:val="0"/>
                <w:iCs w:val="0"/>
                <w:caps w:val="0"/>
                <w:color w:val="000000" w:themeColor="text1"/>
                <w:spacing w:val="0"/>
                <w:sz w:val="21"/>
                <w:szCs w:val="21"/>
                <w14:textFill>
                  <w14:solidFill>
                    <w14:schemeClr w14:val="tx1"/>
                  </w14:solidFill>
                </w14:textFill>
              </w:rPr>
              <w:br w:type="textWrapping"/>
            </w:r>
            <w:r>
              <w:rPr>
                <w:rFonts w:hint="eastAsia" w:ascii="仿宋" w:hAnsi="仿宋" w:eastAsia="仿宋" w:cs="仿宋"/>
                <w:i w:val="0"/>
                <w:iCs w:val="0"/>
                <w:caps w:val="0"/>
                <w:color w:val="000000" w:themeColor="text1"/>
                <w:spacing w:val="0"/>
                <w:sz w:val="21"/>
                <w:szCs w:val="21"/>
                <w14:textFill>
                  <w14:solidFill>
                    <w14:schemeClr w14:val="tx1"/>
                  </w14:solidFill>
                </w14:textFill>
              </w:rPr>
              <w:t>审结</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c>
          <w:tcPr>
            <w:tcW w:w="0" w:type="auto"/>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0" w:firstLineChars="200"/>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五、存在的主要问题及改进情况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3" w:firstLineChars="200"/>
        <w:textAlignment w:val="auto"/>
        <w:rPr>
          <w:rFonts w:hint="eastAsia" w:ascii="仿宋" w:hAnsi="仿宋" w:eastAsia="仿宋" w:cs="仿宋"/>
          <w:i w:val="0"/>
          <w:iCs w:val="0"/>
          <w:caps w:val="0"/>
          <w:color w:val="000000" w:themeColor="text1"/>
          <w:spacing w:val="0"/>
          <w:sz w:val="32"/>
          <w:szCs w:val="32"/>
          <w:lang w:val="en-US"/>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fill="FFFFFF"/>
          <w14:textFill>
            <w14:solidFill>
              <w14:schemeClr w14:val="tx1"/>
            </w14:solidFill>
          </w14:textFill>
        </w:rPr>
        <w:t>存在的主要问题：</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政务公开有待于规范，有时更新不及时，缺乏时效性；政府信息发布机制和平台建设有待健全；宣传力度不够，与服务对象互动性不高。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　</w:t>
      </w:r>
      <w:r>
        <w:rPr>
          <w:rFonts w:hint="eastAsia" w:ascii="楷体" w:hAnsi="楷体" w:eastAsia="楷体" w:cs="楷体"/>
          <w:b/>
          <w:bCs/>
          <w:i w:val="0"/>
          <w:iCs w:val="0"/>
          <w:caps w:val="0"/>
          <w:color w:val="000000" w:themeColor="text1"/>
          <w:spacing w:val="0"/>
          <w:sz w:val="32"/>
          <w:szCs w:val="32"/>
          <w:shd w:val="clear" w:fill="FFFFFF"/>
          <w:lang w:val="en-US" w:eastAsia="zh-CN"/>
          <w14:textFill>
            <w14:solidFill>
              <w14:schemeClr w14:val="tx1"/>
            </w14:solidFill>
          </w14:textFill>
        </w:rPr>
        <w:t>（二）改进情况</w:t>
      </w:r>
      <w:r>
        <w:rPr>
          <w:rFonts w:hint="eastAsia" w:ascii="楷体" w:hAnsi="楷体" w:eastAsia="楷体" w:cs="楷体"/>
          <w:b/>
          <w:bCs/>
          <w:i w:val="0"/>
          <w:iCs w:val="0"/>
          <w:caps w:val="0"/>
          <w:color w:val="000000" w:themeColor="text1"/>
          <w:spacing w:val="0"/>
          <w:sz w:val="32"/>
          <w:szCs w:val="32"/>
          <w:shd w:val="clear" w:fill="FFFFFF"/>
          <w:lang w:eastAsia="zh-CN"/>
          <w14:textFill>
            <w14:solidFill>
              <w14:schemeClr w14:val="tx1"/>
            </w14:solidFill>
          </w14:textFill>
        </w:rPr>
        <w:t>针对以上问题，主要采取以下改进措施：</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进一步加强学习，组织政务公开业务人员和机关工作人员学习相关制度性文件，提升公开意识，提高公开水平；进一步优化规范公开程序和内容，提高政府信息公开的效率，为办事群众提供更优质的服务；继续完善政府信息发布机制和平台建设，畅通信息发布渠道，对应公开的政府信息做到及时准确发布；积极利用媒体、简报、网络等形式</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加强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政府信息公开的宣传。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textAlignment w:val="auto"/>
        <w:rPr>
          <w:rStyle w:val="12"/>
          <w:rFonts w:hint="eastAsia" w:ascii="黑体" w:hAnsi="黑体" w:eastAsia="黑体" w:cs="黑体"/>
          <w:b w:val="0"/>
          <w:bCs/>
          <w:sz w:val="32"/>
          <w:szCs w:val="32"/>
        </w:rPr>
      </w:pPr>
      <w:r>
        <w:rPr>
          <w:rStyle w:val="12"/>
          <w:rFonts w:hint="eastAsia" w:ascii="黑体" w:hAnsi="黑体" w:eastAsia="黑体" w:cs="黑体"/>
          <w:b w:val="0"/>
          <w:bCs/>
          <w:sz w:val="32"/>
          <w:szCs w:val="32"/>
        </w:rPr>
        <w:t> 六、其他需要报告的事项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2022年，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隰县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行政审批局</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信息公开工作没有其他需要报告事项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隰县行政审批服务管理局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2023年1月9日</w:t>
      </w:r>
    </w:p>
    <w:p>
      <w:pPr>
        <w:numPr>
          <w:ilvl w:val="0"/>
          <w:numId w:val="0"/>
        </w:numPr>
        <w:ind w:left="745" w:leftChars="0" w:firstLine="640" w:firstLineChars="200"/>
        <w:rPr>
          <w:rFonts w:hint="default" w:ascii="微软雅黑" w:hAnsi="微软雅黑" w:eastAsia="微软雅黑" w:cs="微软雅黑"/>
          <w:i w:val="0"/>
          <w:iCs w:val="0"/>
          <w:caps w:val="0"/>
          <w:color w:val="000000"/>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6758D"/>
    <w:multiLevelType w:val="singleLevel"/>
    <w:tmpl w:val="9E96758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mViNDk2Njk1NzQyOGQ1ODllY2U4ZjA2NmY2ZGIifQ=="/>
  </w:docVars>
  <w:rsids>
    <w:rsidRoot w:val="60D6099D"/>
    <w:rsid w:val="0ABA1B63"/>
    <w:rsid w:val="11F052D6"/>
    <w:rsid w:val="15A168AF"/>
    <w:rsid w:val="60D6099D"/>
    <w:rsid w:val="706F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link w:val="12"/>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3"/>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rPr>
      <w:rFonts w:ascii="Times New Roman" w:hAnsi="Times New Roman" w:eastAsia="宋体" w:cs="Times New Roman"/>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4 Char"/>
    <w:link w:val="5"/>
    <w:qFormat/>
    <w:uiPriority w:val="0"/>
    <w:rPr>
      <w:rFonts w:ascii="Arial" w:hAnsi="Arial" w:eastAsia="黑体"/>
      <w:b/>
      <w:sz w:val="28"/>
    </w:rPr>
  </w:style>
  <w:style w:type="character" w:customStyle="1" w:styleId="13">
    <w:name w:val="标题 5 Char"/>
    <w:link w:val="6"/>
    <w:qFormat/>
    <w:uiPriority w:val="0"/>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1968</Words>
  <Characters>2201</Characters>
  <Lines>0</Lines>
  <Paragraphs>0</Paragraphs>
  <TotalTime>1</TotalTime>
  <ScaleCrop>false</ScaleCrop>
  <LinksUpToDate>false</LinksUpToDate>
  <CharactersWithSpaces>2258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2023-01-08T07:51:00Z</dcterms:created>
  <dc:creator>悟</dc:creator>
  <cp:lastModifiedBy>Administrator</cp:lastModifiedBy>
  <dcterms:modified xsi:type="dcterms:W3CDTF">2023-01-10T07:51:03Z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BF708300C95144DFA7B0AD8D1A9F91A5</vt:lpwstr>
  </property>
</Properties>
</file>