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2"/>
          <w:szCs w:val="32"/>
          <w:lang w:val="en-US" w:eastAsia="zh-CN" w:bidi="ar-SA"/>
        </w:rPr>
      </w:pPr>
    </w:p>
    <w:p>
      <w:pPr>
        <w:snapToGrid/>
        <w:spacing w:before="0" w:beforeAutospacing="0" w:after="0" w:afterAutospacing="0" w:line="240" w:lineRule="auto"/>
        <w:ind w:firstLine="880" w:firstLineChars="200"/>
        <w:jc w:val="center"/>
        <w:textAlignment w:val="baseline"/>
        <w:rPr>
          <w:rStyle w:val="7"/>
          <w:rFonts w:ascii="华文中宋" w:hAnsi="华文中宋" w:eastAsia="华文中宋"/>
          <w:b w:val="0"/>
          <w:i w:val="0"/>
          <w:caps w:val="0"/>
          <w:spacing w:val="0"/>
          <w:w w:val="100"/>
          <w:kern w:val="2"/>
          <w:sz w:val="44"/>
          <w:szCs w:val="44"/>
          <w:lang w:val="en-US" w:eastAsia="zh-CN" w:bidi="ar-SA"/>
        </w:rPr>
      </w:pPr>
      <w:r>
        <w:rPr>
          <w:rStyle w:val="7"/>
          <w:rFonts w:ascii="华文中宋" w:hAnsi="华文中宋" w:eastAsia="华文中宋"/>
          <w:b w:val="0"/>
          <w:i w:val="0"/>
          <w:caps w:val="0"/>
          <w:spacing w:val="0"/>
          <w:w w:val="100"/>
          <w:kern w:val="2"/>
          <w:sz w:val="44"/>
          <w:szCs w:val="44"/>
          <w:lang w:val="en-US" w:eastAsia="zh-CN" w:bidi="ar-SA"/>
        </w:rPr>
        <w:t>隰县第三小学2021年度部门决算</w:t>
      </w:r>
    </w:p>
    <w:p>
      <w:pPr>
        <w:snapToGrid/>
        <w:spacing w:before="0" w:beforeAutospacing="0" w:after="0" w:afterAutospacing="0" w:line="24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both"/>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第一部分  概况</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spacing w:val="0"/>
          <w:w w:val="100"/>
          <w:kern w:val="0"/>
          <w:sz w:val="32"/>
          <w:szCs w:val="32"/>
          <w:lang w:val="en-US" w:eastAsia="zh-CN"/>
        </w:rPr>
        <w:t>一、本部门职责</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1、认真贯彻落实党的组织工作和干部工作的路线、方针、政策，提出落实方案并组织实施。</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2、提出列入县委及本部管理的干部及领导班子建设、调整、配备的意见和建议。</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3、负责全县党员、干部队伍的宏观管理工作和选拔培养中青年干部工作。</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4、按照党章规定，协调、规划和指导全县各级党组织建设、党员教育管理和发展工作。</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5、拟定全县组织、干部人事工作的主要政策和制度，指导干部人事制度改革。</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spacing w:val="0"/>
          <w:w w:val="100"/>
          <w:kern w:val="0"/>
          <w:sz w:val="32"/>
          <w:szCs w:val="32"/>
          <w:lang w:val="en-US" w:eastAsia="zh-CN"/>
        </w:rPr>
        <w:t xml:space="preserve">二、机构设置情况 </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单位根据教育教学需要，设置如下机构：办公室、教导处、教研室、政教处、少先队大队部、财务室、体卫处以及纪检组、工会，在职人员74人。</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第二部分  2021年度部门决算报表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一、收入支出决算总表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二、收入决算表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三、支出决算表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四、财政拨款收入支出决算总表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五、一般公共预算财政拨款支出决算表（一）</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六、一般公共预算财政拨款支出决算表（二）</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七、一般公共预算财政拨款“三公”经费支出决算表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八、政府性基金预算财政拨款收入支出决算表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九、国有资本经营预算财政拨款支出决算表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十、部门决算公开相关信息统计表</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（注：如果公开表中某张表是空表也要挂空表，并在表下附说明，例如：XX单位没有使用xxx安排的支出，故本表无数据）</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第三部分  2021年度部门决算情况说明</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一、收入支出决算总体情况说明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2021年度收入总计912.9万元、支出总计912.9万元。与2020年相比，收入总计</w:t>
      </w:r>
      <w:r>
        <w:rPr>
          <w:rStyle w:val="7"/>
          <w:rFonts w:ascii="仿宋" w:hAnsi="仿宋" w:eastAsia="仿宋"/>
          <w:b w:val="0"/>
          <w:i w:val="0"/>
          <w:caps w:val="0"/>
          <w:color w:val="000000"/>
          <w:spacing w:val="0"/>
          <w:w w:val="100"/>
          <w:kern w:val="2"/>
          <w:sz w:val="32"/>
          <w:szCs w:val="32"/>
          <w:lang w:val="en-US" w:eastAsia="zh-CN" w:bidi="ar-SA"/>
        </w:rPr>
        <w:t>增加217.09</w:t>
      </w:r>
      <w:r>
        <w:rPr>
          <w:rStyle w:val="7"/>
          <w:rFonts w:ascii="仿宋" w:hAnsi="仿宋" w:eastAsia="仿宋"/>
          <w:b w:val="0"/>
          <w:i w:val="0"/>
          <w:caps w:val="0"/>
          <w:spacing w:val="0"/>
          <w:w w:val="100"/>
          <w:kern w:val="2"/>
          <w:sz w:val="32"/>
          <w:szCs w:val="32"/>
          <w:lang w:val="en-US" w:eastAsia="zh-CN" w:bidi="ar-SA"/>
        </w:rPr>
        <w:t>万元，</w:t>
      </w:r>
      <w:r>
        <w:rPr>
          <w:rStyle w:val="7"/>
          <w:rFonts w:ascii="仿宋" w:hAnsi="仿宋" w:eastAsia="仿宋"/>
          <w:b w:val="0"/>
          <w:i w:val="0"/>
          <w:caps w:val="0"/>
          <w:color w:val="000000"/>
          <w:spacing w:val="0"/>
          <w:w w:val="100"/>
          <w:kern w:val="2"/>
          <w:sz w:val="32"/>
          <w:szCs w:val="32"/>
          <w:lang w:val="en-US" w:eastAsia="zh-CN" w:bidi="ar-SA"/>
        </w:rPr>
        <w:t>增长31</w:t>
      </w:r>
      <w:r>
        <w:rPr>
          <w:rStyle w:val="7"/>
          <w:rFonts w:ascii="仿宋" w:hAnsi="仿宋" w:eastAsia="仿宋"/>
          <w:b w:val="0"/>
          <w:i w:val="0"/>
          <w:caps w:val="0"/>
          <w:spacing w:val="0"/>
          <w:w w:val="100"/>
          <w:kern w:val="2"/>
          <w:sz w:val="32"/>
          <w:szCs w:val="32"/>
          <w:lang w:val="en-US" w:eastAsia="zh-CN" w:bidi="ar-SA"/>
        </w:rPr>
        <w:t>%，支出总计</w:t>
      </w:r>
      <w:r>
        <w:rPr>
          <w:rStyle w:val="7"/>
          <w:rFonts w:ascii="仿宋" w:hAnsi="仿宋" w:eastAsia="仿宋"/>
          <w:b w:val="0"/>
          <w:i w:val="0"/>
          <w:caps w:val="0"/>
          <w:color w:val="000000"/>
          <w:spacing w:val="0"/>
          <w:w w:val="100"/>
          <w:kern w:val="2"/>
          <w:sz w:val="32"/>
          <w:szCs w:val="32"/>
          <w:lang w:val="en-US" w:eastAsia="zh-CN" w:bidi="ar-SA"/>
        </w:rPr>
        <w:t>912.9</w:t>
      </w:r>
      <w:r>
        <w:rPr>
          <w:rStyle w:val="7"/>
          <w:rFonts w:ascii="仿宋" w:hAnsi="仿宋" w:eastAsia="仿宋"/>
          <w:b w:val="0"/>
          <w:i w:val="0"/>
          <w:caps w:val="0"/>
          <w:spacing w:val="0"/>
          <w:w w:val="100"/>
          <w:kern w:val="2"/>
          <w:sz w:val="32"/>
          <w:szCs w:val="32"/>
          <w:lang w:val="en-US" w:eastAsia="zh-CN" w:bidi="ar-SA"/>
        </w:rPr>
        <w:t>万元，与2020年相比，支出总计增加217.09万元，</w:t>
      </w:r>
      <w:r>
        <w:rPr>
          <w:rStyle w:val="7"/>
          <w:rFonts w:ascii="仿宋" w:hAnsi="仿宋" w:eastAsia="仿宋"/>
          <w:b w:val="0"/>
          <w:i w:val="0"/>
          <w:caps w:val="0"/>
          <w:color w:val="000000"/>
          <w:spacing w:val="0"/>
          <w:w w:val="100"/>
          <w:kern w:val="2"/>
          <w:sz w:val="32"/>
          <w:szCs w:val="32"/>
          <w:lang w:val="en-US" w:eastAsia="zh-CN" w:bidi="ar-SA"/>
        </w:rPr>
        <w:t>增长31</w:t>
      </w:r>
      <w:r>
        <w:rPr>
          <w:rStyle w:val="7"/>
          <w:rFonts w:ascii="仿宋" w:hAnsi="仿宋" w:eastAsia="仿宋"/>
          <w:b w:val="0"/>
          <w:i w:val="0"/>
          <w:caps w:val="0"/>
          <w:spacing w:val="0"/>
          <w:w w:val="100"/>
          <w:kern w:val="2"/>
          <w:sz w:val="32"/>
          <w:szCs w:val="32"/>
          <w:lang w:val="en-US" w:eastAsia="zh-CN" w:bidi="ar-SA"/>
        </w:rPr>
        <w:t>%。主要原因是42名教师晋升职称。</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二、收入决算情况说明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2021年度收入合计912.9万元，其中：财政拨款收入912.9万元，占比100%。</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三、支出决算情况说明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2021年度支出合计912.9万元，其中：基本支出732.27万元，占比80%；项目支出180.63万元，占比20%。</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四、财政拨款收入支出决算总体情况说明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2021年度财政拨款收入总计912.9万元、支出总计912.9万元。与2020年相比，财政拨款收入总计</w:t>
      </w:r>
      <w:r>
        <w:rPr>
          <w:rStyle w:val="7"/>
          <w:rFonts w:ascii="仿宋" w:hAnsi="仿宋" w:eastAsia="仿宋"/>
          <w:b w:val="0"/>
          <w:i w:val="0"/>
          <w:caps w:val="0"/>
          <w:color w:val="000000"/>
          <w:spacing w:val="0"/>
          <w:w w:val="100"/>
          <w:kern w:val="2"/>
          <w:sz w:val="32"/>
          <w:szCs w:val="32"/>
          <w:lang w:val="en-US" w:eastAsia="zh-CN" w:bidi="ar-SA"/>
        </w:rPr>
        <w:t>增加217.09</w:t>
      </w:r>
      <w:r>
        <w:rPr>
          <w:rStyle w:val="7"/>
          <w:rFonts w:ascii="仿宋" w:hAnsi="仿宋" w:eastAsia="仿宋"/>
          <w:b w:val="0"/>
          <w:i w:val="0"/>
          <w:caps w:val="0"/>
          <w:spacing w:val="0"/>
          <w:w w:val="100"/>
          <w:kern w:val="2"/>
          <w:sz w:val="32"/>
          <w:szCs w:val="32"/>
          <w:lang w:val="en-US" w:eastAsia="zh-CN" w:bidi="ar-SA"/>
        </w:rPr>
        <w:t>万元，</w:t>
      </w:r>
      <w:r>
        <w:rPr>
          <w:rStyle w:val="7"/>
          <w:rFonts w:ascii="仿宋" w:hAnsi="仿宋" w:eastAsia="仿宋"/>
          <w:b w:val="0"/>
          <w:i w:val="0"/>
          <w:caps w:val="0"/>
          <w:color w:val="000000"/>
          <w:spacing w:val="0"/>
          <w:w w:val="100"/>
          <w:kern w:val="2"/>
          <w:sz w:val="32"/>
          <w:szCs w:val="32"/>
          <w:lang w:val="en-US" w:eastAsia="zh-CN" w:bidi="ar-SA"/>
        </w:rPr>
        <w:t>增长31</w:t>
      </w:r>
      <w:r>
        <w:rPr>
          <w:rStyle w:val="7"/>
          <w:rFonts w:ascii="仿宋" w:hAnsi="仿宋" w:eastAsia="仿宋"/>
          <w:b w:val="0"/>
          <w:i w:val="0"/>
          <w:caps w:val="0"/>
          <w:spacing w:val="0"/>
          <w:w w:val="100"/>
          <w:kern w:val="2"/>
          <w:sz w:val="32"/>
          <w:szCs w:val="32"/>
          <w:lang w:val="en-US" w:eastAsia="zh-CN" w:bidi="ar-SA"/>
        </w:rPr>
        <w:t>%，财政拨款支出总计</w:t>
      </w:r>
      <w:r>
        <w:rPr>
          <w:rStyle w:val="7"/>
          <w:rFonts w:ascii="仿宋" w:hAnsi="仿宋" w:eastAsia="仿宋"/>
          <w:b w:val="0"/>
          <w:i w:val="0"/>
          <w:caps w:val="0"/>
          <w:color w:val="000000"/>
          <w:spacing w:val="0"/>
          <w:w w:val="100"/>
          <w:kern w:val="2"/>
          <w:sz w:val="32"/>
          <w:szCs w:val="32"/>
          <w:lang w:val="en-US" w:eastAsia="zh-CN" w:bidi="ar-SA"/>
        </w:rPr>
        <w:t>增加217.09</w:t>
      </w:r>
      <w:r>
        <w:rPr>
          <w:rStyle w:val="7"/>
          <w:rFonts w:ascii="仿宋" w:hAnsi="仿宋" w:eastAsia="仿宋"/>
          <w:b w:val="0"/>
          <w:i w:val="0"/>
          <w:caps w:val="0"/>
          <w:spacing w:val="0"/>
          <w:w w:val="100"/>
          <w:kern w:val="2"/>
          <w:sz w:val="32"/>
          <w:szCs w:val="32"/>
          <w:lang w:val="en-US" w:eastAsia="zh-CN" w:bidi="ar-SA"/>
        </w:rPr>
        <w:t>万元，</w:t>
      </w:r>
      <w:r>
        <w:rPr>
          <w:rStyle w:val="7"/>
          <w:rFonts w:ascii="仿宋" w:hAnsi="仿宋" w:eastAsia="仿宋"/>
          <w:b w:val="0"/>
          <w:i w:val="0"/>
          <w:caps w:val="0"/>
          <w:color w:val="000000"/>
          <w:spacing w:val="0"/>
          <w:w w:val="100"/>
          <w:kern w:val="2"/>
          <w:sz w:val="32"/>
          <w:szCs w:val="32"/>
          <w:lang w:val="en-US" w:eastAsia="zh-CN" w:bidi="ar-SA"/>
        </w:rPr>
        <w:t>增长31</w:t>
      </w:r>
      <w:r>
        <w:rPr>
          <w:rStyle w:val="7"/>
          <w:rFonts w:ascii="仿宋" w:hAnsi="仿宋" w:eastAsia="仿宋"/>
          <w:b w:val="0"/>
          <w:i w:val="0"/>
          <w:caps w:val="0"/>
          <w:spacing w:val="0"/>
          <w:w w:val="100"/>
          <w:kern w:val="2"/>
          <w:sz w:val="32"/>
          <w:szCs w:val="32"/>
          <w:lang w:val="en-US" w:eastAsia="zh-CN" w:bidi="ar-SA"/>
        </w:rPr>
        <w:t>%。主要原因普调工资。</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五、一般公共预算财政拨款支出决算情况说明</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（一）财政拨款支出决算总体情况</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2021年度财政拨款支出912.9万元，占本年支出合计的100%。与2020年相比，财政拨款支出</w:t>
      </w:r>
      <w:r>
        <w:rPr>
          <w:rStyle w:val="7"/>
          <w:rFonts w:ascii="仿宋" w:hAnsi="仿宋" w:eastAsia="仿宋"/>
          <w:b w:val="0"/>
          <w:i w:val="0"/>
          <w:caps w:val="0"/>
          <w:color w:val="000000"/>
          <w:spacing w:val="0"/>
          <w:w w:val="100"/>
          <w:kern w:val="2"/>
          <w:sz w:val="32"/>
          <w:szCs w:val="32"/>
          <w:lang w:val="en-US" w:eastAsia="zh-CN" w:bidi="ar-SA"/>
        </w:rPr>
        <w:t>增加217.09</w:t>
      </w:r>
      <w:r>
        <w:rPr>
          <w:rStyle w:val="7"/>
          <w:rFonts w:ascii="仿宋" w:hAnsi="仿宋" w:eastAsia="仿宋"/>
          <w:b w:val="0"/>
          <w:i w:val="0"/>
          <w:caps w:val="0"/>
          <w:spacing w:val="0"/>
          <w:w w:val="100"/>
          <w:kern w:val="2"/>
          <w:sz w:val="32"/>
          <w:szCs w:val="32"/>
          <w:lang w:val="en-US" w:eastAsia="zh-CN" w:bidi="ar-SA"/>
        </w:rPr>
        <w:t>万元，</w:t>
      </w:r>
      <w:r>
        <w:rPr>
          <w:rStyle w:val="7"/>
          <w:rFonts w:ascii="仿宋" w:hAnsi="仿宋" w:eastAsia="仿宋"/>
          <w:b w:val="0"/>
          <w:i w:val="0"/>
          <w:caps w:val="0"/>
          <w:color w:val="000000"/>
          <w:spacing w:val="0"/>
          <w:w w:val="100"/>
          <w:kern w:val="2"/>
          <w:sz w:val="32"/>
          <w:szCs w:val="32"/>
          <w:lang w:val="en-US" w:eastAsia="zh-CN" w:bidi="ar-SA"/>
        </w:rPr>
        <w:t>增长31</w:t>
      </w:r>
      <w:r>
        <w:rPr>
          <w:rStyle w:val="7"/>
          <w:rFonts w:ascii="仿宋" w:hAnsi="仿宋" w:eastAsia="仿宋"/>
          <w:b w:val="0"/>
          <w:i w:val="0"/>
          <w:caps w:val="0"/>
          <w:spacing w:val="0"/>
          <w:w w:val="100"/>
          <w:kern w:val="2"/>
          <w:sz w:val="32"/>
          <w:szCs w:val="32"/>
          <w:lang w:val="en-US" w:eastAsia="zh-CN" w:bidi="ar-SA"/>
        </w:rPr>
        <w:t>%。主要原因是42名教师晋升职称，工资增加。其中，人员经费816.49万元，占比89%，日常公用经费96.4万元，占比11%。</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（二）财政拨款支出决算结构情况</w:t>
      </w:r>
    </w:p>
    <w:p>
      <w:pPr>
        <w:snapToGrid/>
        <w:spacing w:before="0" w:beforeAutospacing="0" w:after="0" w:afterAutospacing="0" w:line="240" w:lineRule="auto"/>
        <w:ind w:firstLine="640" w:firstLineChars="200"/>
        <w:jc w:val="both"/>
        <w:textAlignment w:val="baseline"/>
        <w:rPr>
          <w:rStyle w:val="7"/>
          <w:rFonts w:ascii="仿宋" w:hAnsi="仿宋" w:eastAsia="仿宋"/>
          <w:b/>
          <w:i w:val="0"/>
          <w:caps w:val="0"/>
          <w:spacing w:val="0"/>
          <w:w w:val="100"/>
          <w:kern w:val="2"/>
          <w:sz w:val="32"/>
          <w:szCs w:val="32"/>
          <w:highlight w:val="yellow"/>
          <w:lang w:val="en-US" w:eastAsia="zh-CN" w:bidi="ar-SA"/>
        </w:rPr>
      </w:pPr>
      <w:r>
        <w:rPr>
          <w:rStyle w:val="7"/>
          <w:rFonts w:ascii="仿宋" w:hAnsi="仿宋" w:eastAsia="仿宋"/>
          <w:b w:val="0"/>
          <w:i w:val="0"/>
          <w:caps w:val="0"/>
          <w:spacing w:val="0"/>
          <w:w w:val="100"/>
          <w:kern w:val="2"/>
          <w:sz w:val="32"/>
          <w:szCs w:val="32"/>
          <w:lang w:val="en-US" w:eastAsia="zh-CN" w:bidi="ar-SA"/>
        </w:rPr>
        <w:t>2021年度财政拨款支出912.9万元，主要用于以下方面：</w:t>
      </w:r>
      <w:r>
        <w:rPr>
          <w:rStyle w:val="7"/>
          <w:rFonts w:ascii="仿宋" w:hAnsi="仿宋" w:eastAsia="仿宋"/>
          <w:b/>
          <w:i w:val="0"/>
          <w:caps w:val="0"/>
          <w:spacing w:val="0"/>
          <w:w w:val="100"/>
          <w:kern w:val="2"/>
          <w:sz w:val="32"/>
          <w:szCs w:val="32"/>
          <w:lang w:val="en-US" w:eastAsia="zh-CN" w:bidi="ar-SA"/>
        </w:rPr>
        <w:t>一般公共服务（类）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cs="仿宋"/>
          <w:b/>
          <w:bCs/>
          <w:i w:val="0"/>
          <w:caps w:val="0"/>
          <w:spacing w:val="0"/>
          <w:w w:val="100"/>
          <w:kern w:val="2"/>
          <w:sz w:val="32"/>
          <w:szCs w:val="32"/>
          <w:lang w:val="en-US" w:eastAsia="zh-CN" w:bidi="ar-SA"/>
        </w:rPr>
        <w:t>外交（类）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国防（类）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公共安全（类）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教育（类）</w:t>
      </w:r>
      <w:r>
        <w:rPr>
          <w:rStyle w:val="7"/>
          <w:rFonts w:ascii="仿宋" w:hAnsi="仿宋" w:eastAsia="仿宋"/>
          <w:b w:val="0"/>
          <w:i w:val="0"/>
          <w:caps w:val="0"/>
          <w:spacing w:val="0"/>
          <w:w w:val="100"/>
          <w:kern w:val="2"/>
          <w:sz w:val="32"/>
          <w:szCs w:val="32"/>
          <w:lang w:val="en-US" w:eastAsia="zh-CN" w:bidi="ar-SA"/>
        </w:rPr>
        <w:t>支出731.28万元，占80%；</w:t>
      </w:r>
      <w:r>
        <w:rPr>
          <w:rStyle w:val="7"/>
          <w:rFonts w:ascii="仿宋" w:hAnsi="仿宋" w:eastAsia="仿宋"/>
          <w:b/>
          <w:i w:val="0"/>
          <w:caps w:val="0"/>
          <w:spacing w:val="0"/>
          <w:w w:val="100"/>
          <w:kern w:val="2"/>
          <w:sz w:val="32"/>
          <w:szCs w:val="32"/>
          <w:lang w:val="en-US" w:eastAsia="zh-CN" w:bidi="ar-SA"/>
        </w:rPr>
        <w:t>科学技术（类）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文化旅游体育与传媒（类）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社会保障和就业（类）</w:t>
      </w:r>
      <w:r>
        <w:rPr>
          <w:rStyle w:val="7"/>
          <w:rFonts w:ascii="仿宋" w:hAnsi="仿宋" w:eastAsia="仿宋"/>
          <w:b w:val="0"/>
          <w:i w:val="0"/>
          <w:caps w:val="0"/>
          <w:spacing w:val="0"/>
          <w:w w:val="100"/>
          <w:kern w:val="2"/>
          <w:sz w:val="32"/>
          <w:szCs w:val="32"/>
          <w:lang w:val="en-US" w:eastAsia="zh-CN" w:bidi="ar-SA"/>
        </w:rPr>
        <w:t>支出85.04万元，占9%；</w:t>
      </w:r>
      <w:r>
        <w:rPr>
          <w:rStyle w:val="7"/>
          <w:rFonts w:ascii="仿宋" w:hAnsi="仿宋" w:eastAsia="仿宋"/>
          <w:b/>
          <w:i w:val="0"/>
          <w:caps w:val="0"/>
          <w:spacing w:val="0"/>
          <w:w w:val="100"/>
          <w:kern w:val="2"/>
          <w:sz w:val="32"/>
          <w:szCs w:val="32"/>
          <w:lang w:val="en-US" w:eastAsia="zh-CN" w:bidi="ar-SA"/>
        </w:rPr>
        <w:t>卫生健康（类）</w:t>
      </w:r>
      <w:r>
        <w:rPr>
          <w:rStyle w:val="7"/>
          <w:rFonts w:ascii="仿宋" w:hAnsi="仿宋" w:eastAsia="仿宋"/>
          <w:b w:val="0"/>
          <w:i w:val="0"/>
          <w:caps w:val="0"/>
          <w:spacing w:val="0"/>
          <w:w w:val="100"/>
          <w:kern w:val="2"/>
          <w:sz w:val="32"/>
          <w:szCs w:val="32"/>
          <w:lang w:val="en-US" w:eastAsia="zh-CN" w:bidi="ar-SA"/>
        </w:rPr>
        <w:t>支出33.68万元，占4%；</w:t>
      </w:r>
      <w:r>
        <w:rPr>
          <w:rStyle w:val="7"/>
          <w:rFonts w:ascii="仿宋" w:hAnsi="仿宋" w:eastAsia="仿宋"/>
          <w:b/>
          <w:i w:val="0"/>
          <w:caps w:val="0"/>
          <w:spacing w:val="0"/>
          <w:w w:val="100"/>
          <w:kern w:val="2"/>
          <w:sz w:val="32"/>
          <w:szCs w:val="32"/>
          <w:lang w:val="en-US" w:eastAsia="zh-CN" w:bidi="ar-SA"/>
        </w:rPr>
        <w:t>节能环保（类）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城乡社区（类）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农林水（类）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交通运输（类）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资源勘探工业信息等（类）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商业服务业等（类）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金融（类）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援助其他地区（类）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自然资源海洋气象等（类）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住房保障（类）</w:t>
      </w:r>
      <w:r>
        <w:rPr>
          <w:rStyle w:val="7"/>
          <w:rFonts w:ascii="仿宋" w:hAnsi="仿宋" w:eastAsia="仿宋"/>
          <w:b w:val="0"/>
          <w:i w:val="0"/>
          <w:caps w:val="0"/>
          <w:spacing w:val="0"/>
          <w:w w:val="100"/>
          <w:kern w:val="2"/>
          <w:sz w:val="32"/>
          <w:szCs w:val="32"/>
          <w:lang w:val="en-US" w:eastAsia="zh-CN" w:bidi="ar-SA"/>
        </w:rPr>
        <w:t>支出62.09万元，占7%；</w:t>
      </w:r>
      <w:r>
        <w:rPr>
          <w:rStyle w:val="7"/>
          <w:rFonts w:ascii="仿宋" w:hAnsi="仿宋" w:eastAsia="仿宋"/>
          <w:b/>
          <w:i w:val="0"/>
          <w:caps w:val="0"/>
          <w:spacing w:val="0"/>
          <w:w w:val="100"/>
          <w:kern w:val="2"/>
          <w:sz w:val="32"/>
          <w:szCs w:val="32"/>
          <w:lang w:val="en-US" w:eastAsia="zh-CN" w:bidi="ar-SA"/>
        </w:rPr>
        <w:t>粮油物资储备（类）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cs="仿宋"/>
          <w:b/>
          <w:bCs/>
          <w:i w:val="0"/>
          <w:caps w:val="0"/>
          <w:spacing w:val="0"/>
          <w:w w:val="100"/>
          <w:kern w:val="2"/>
          <w:sz w:val="32"/>
          <w:szCs w:val="32"/>
          <w:lang w:val="en-US" w:eastAsia="zh-CN" w:bidi="ar-SA"/>
        </w:rPr>
        <w:t>国有资本经营预算（类）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灾害防治及应急管理（类）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其他（类）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cs="仿宋"/>
          <w:b/>
          <w:bCs/>
          <w:i w:val="0"/>
          <w:caps w:val="0"/>
          <w:spacing w:val="0"/>
          <w:w w:val="100"/>
          <w:kern w:val="2"/>
          <w:sz w:val="32"/>
          <w:szCs w:val="32"/>
          <w:lang w:val="en-US" w:eastAsia="zh-CN" w:bidi="ar-SA"/>
        </w:rPr>
        <w:t>债务还本（类）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b/>
          <w:i w:val="0"/>
          <w:caps w:val="0"/>
          <w:spacing w:val="0"/>
          <w:w w:val="100"/>
          <w:kern w:val="2"/>
          <w:sz w:val="32"/>
          <w:szCs w:val="32"/>
          <w:lang w:val="en-US" w:eastAsia="zh-CN" w:bidi="ar-SA"/>
        </w:rPr>
        <w:t>债务付息（类）</w:t>
      </w:r>
      <w:r>
        <w:rPr>
          <w:rStyle w:val="7"/>
          <w:rFonts w:ascii="仿宋" w:hAnsi="仿宋" w:eastAsia="仿宋"/>
          <w:b w:val="0"/>
          <w:i w:val="0"/>
          <w:caps w:val="0"/>
          <w:spacing w:val="0"/>
          <w:w w:val="100"/>
          <w:kern w:val="2"/>
          <w:sz w:val="32"/>
          <w:szCs w:val="32"/>
          <w:lang w:val="en-US" w:eastAsia="zh-CN" w:bidi="ar-SA"/>
        </w:rPr>
        <w:t>支出0万元；</w:t>
      </w:r>
      <w:r>
        <w:rPr>
          <w:rStyle w:val="7"/>
          <w:rFonts w:ascii="仿宋" w:hAnsi="仿宋" w:eastAsia="仿宋" w:cs="仿宋"/>
          <w:b/>
          <w:bCs/>
          <w:i w:val="0"/>
          <w:caps w:val="0"/>
          <w:spacing w:val="0"/>
          <w:w w:val="100"/>
          <w:kern w:val="2"/>
          <w:sz w:val="32"/>
          <w:szCs w:val="32"/>
          <w:lang w:val="en-US" w:eastAsia="zh-CN" w:bidi="ar-SA"/>
        </w:rPr>
        <w:t>抗疫特别国债安排（类）</w:t>
      </w:r>
      <w:r>
        <w:rPr>
          <w:rStyle w:val="7"/>
          <w:rFonts w:ascii="仿宋" w:hAnsi="仿宋" w:eastAsia="仿宋"/>
          <w:b w:val="0"/>
          <w:i w:val="0"/>
          <w:caps w:val="0"/>
          <w:spacing w:val="0"/>
          <w:w w:val="100"/>
          <w:kern w:val="2"/>
          <w:sz w:val="32"/>
          <w:szCs w:val="32"/>
          <w:lang w:val="en-US" w:eastAsia="zh-CN" w:bidi="ar-SA"/>
        </w:rPr>
        <w:t>支出0万元。</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（三）财政拨款支出决算具体情况</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2021年度财政拨款支出年初预算912.9万元，支出决算912.9万元，完成年初预算的100%。其中：</w:t>
      </w:r>
    </w:p>
    <w:p>
      <w:pPr>
        <w:snapToGrid/>
        <w:spacing w:before="0" w:beforeAutospacing="0" w:after="0" w:afterAutospacing="0" w:line="240" w:lineRule="auto"/>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教育（类）</w:t>
      </w:r>
      <w:r>
        <w:rPr>
          <w:rStyle w:val="7"/>
          <w:rFonts w:ascii="仿宋" w:hAnsi="仿宋" w:eastAsia="仿宋"/>
          <w:b w:val="0"/>
          <w:i w:val="0"/>
          <w:caps w:val="0"/>
          <w:spacing w:val="0"/>
          <w:w w:val="100"/>
          <w:kern w:val="2"/>
          <w:sz w:val="32"/>
          <w:szCs w:val="32"/>
          <w:lang w:val="en-US" w:eastAsia="zh-CN" w:bidi="ar-SA"/>
        </w:rPr>
        <w:t>支出年初预算731.28万元，支出决算731.28万元，完成年初预算的100%；较2020年决算增加183.74万元，增长10%，主要原因42名教师晋升职称工资增加；</w:t>
      </w:r>
      <w:r>
        <w:rPr>
          <w:rStyle w:val="7"/>
          <w:rFonts w:ascii="仿宋" w:hAnsi="仿宋" w:eastAsia="仿宋"/>
          <w:b/>
          <w:i w:val="0"/>
          <w:caps w:val="0"/>
          <w:spacing w:val="0"/>
          <w:w w:val="100"/>
          <w:kern w:val="2"/>
          <w:sz w:val="32"/>
          <w:szCs w:val="32"/>
          <w:lang w:val="en-US" w:eastAsia="zh-CN" w:bidi="ar-SA"/>
        </w:rPr>
        <w:t>社会保障和就业（类）</w:t>
      </w:r>
      <w:r>
        <w:rPr>
          <w:rStyle w:val="7"/>
          <w:rFonts w:ascii="仿宋" w:hAnsi="仿宋" w:eastAsia="仿宋"/>
          <w:b w:val="0"/>
          <w:i w:val="0"/>
          <w:caps w:val="0"/>
          <w:spacing w:val="0"/>
          <w:w w:val="100"/>
          <w:kern w:val="2"/>
          <w:sz w:val="32"/>
          <w:szCs w:val="32"/>
          <w:lang w:val="en-US" w:eastAsia="zh-CN" w:bidi="ar-SA"/>
        </w:rPr>
        <w:t>支出年初预算85.04万元，支出决算85.04万元，完成年初预算的100%；较2020年决算增加19.92万元，减少31%，主要原因是42名教师晋升职称工资增加；</w:t>
      </w:r>
      <w:r>
        <w:rPr>
          <w:rStyle w:val="7"/>
          <w:rFonts w:ascii="仿宋" w:hAnsi="仿宋" w:eastAsia="仿宋"/>
          <w:b/>
          <w:i w:val="0"/>
          <w:caps w:val="0"/>
          <w:spacing w:val="0"/>
          <w:w w:val="100"/>
          <w:kern w:val="2"/>
          <w:sz w:val="32"/>
          <w:szCs w:val="32"/>
          <w:lang w:val="en-US" w:eastAsia="zh-CN" w:bidi="ar-SA"/>
        </w:rPr>
        <w:t>卫生健康（类）</w:t>
      </w:r>
      <w:r>
        <w:rPr>
          <w:rStyle w:val="7"/>
          <w:rFonts w:ascii="仿宋" w:hAnsi="仿宋" w:eastAsia="仿宋"/>
          <w:b w:val="0"/>
          <w:i w:val="0"/>
          <w:caps w:val="0"/>
          <w:spacing w:val="0"/>
          <w:w w:val="100"/>
          <w:kern w:val="2"/>
          <w:sz w:val="32"/>
          <w:szCs w:val="32"/>
          <w:lang w:val="en-US" w:eastAsia="zh-CN" w:bidi="ar-SA"/>
        </w:rPr>
        <w:t>支出年初预算33.68万元，支出决算33.68万元，完成年初预算的100%；较2020年决算增加3.66万元，增加12%，主要原因是42名教师晋升职称工资增加；</w:t>
      </w:r>
      <w:r>
        <w:rPr>
          <w:rStyle w:val="7"/>
          <w:rFonts w:ascii="仿宋" w:hAnsi="仿宋" w:eastAsia="仿宋"/>
          <w:b/>
          <w:i w:val="0"/>
          <w:caps w:val="0"/>
          <w:spacing w:val="0"/>
          <w:w w:val="100"/>
          <w:kern w:val="2"/>
          <w:sz w:val="32"/>
          <w:szCs w:val="32"/>
          <w:lang w:val="en-US" w:eastAsia="zh-CN" w:bidi="ar-SA"/>
        </w:rPr>
        <w:t>住房保障（类）</w:t>
      </w:r>
      <w:r>
        <w:rPr>
          <w:rStyle w:val="7"/>
          <w:rFonts w:ascii="仿宋" w:hAnsi="仿宋" w:eastAsia="仿宋"/>
          <w:b w:val="0"/>
          <w:i w:val="0"/>
          <w:caps w:val="0"/>
          <w:spacing w:val="0"/>
          <w:w w:val="100"/>
          <w:kern w:val="2"/>
          <w:sz w:val="32"/>
          <w:szCs w:val="32"/>
          <w:lang w:val="en-US" w:eastAsia="zh-CN" w:bidi="ar-SA"/>
        </w:rPr>
        <w:t>支出年初预算62.9万元，支出决算62.9万元，完成年初预算的100%；较2020年决算增加12.87万元，增加26%，主要原因是42名教师晋升职称工资增加。</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六、一般公共预算财政拨款基本支出决算情况说明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财政拨款基本支出732.27万元，其中：人员经费816.49万元，主要包括工资福利支出744.27万元，其中：基本工资303.9万元，津贴补贴72.34万元，绩效187.21万元，机关事业单位基本养老保险缴费76.45万元，职业年金缴费3.44万元，职工基本医疗保险缴费33.69万元，其他社会保障缴费5.14万元，住房公积金62.9万元，对个人和家庭的补助72.23万元，其中：生活补助：72.23万元；公用经费96.4万元，主要包括资本性支出：31.88万元，其中：办公设备购置21.94万元，专用设备购置9.94万元。</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七、一般公共预算财政拨款“三公”经费支出决算情况说明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（一）“三公”经费财政拨款支出决算总体情况说明。</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color w:val="000000"/>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32"/>
          <w:lang w:val="en-US" w:eastAsia="zh-CN"/>
        </w:rPr>
        <w:t>我单位2021年无三公经费支出，上年无三公经费支出。</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八、其他重要事项情况说明</w:t>
      </w:r>
    </w:p>
    <w:p>
      <w:pPr>
        <w:snapToGrid/>
        <w:spacing w:before="0" w:beforeAutospacing="0" w:after="0" w:afterAutospacing="0" w:line="240" w:lineRule="auto"/>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（一）机关运行经费支出情况说明</w:t>
      </w:r>
    </w:p>
    <w:p>
      <w:pPr>
        <w:pStyle w:val="9"/>
        <w:widowControl/>
        <w:snapToGrid/>
        <w:spacing w:before="0" w:beforeAutospacing="1" w:after="0" w:afterAutospacing="1" w:line="240" w:lineRule="auto"/>
        <w:ind w:left="0" w:right="0" w:firstLine="640" w:firstLineChars="200"/>
        <w:jc w:val="left"/>
        <w:textAlignment w:val="baseline"/>
        <w:rPr>
          <w:rStyle w:val="7"/>
          <w:rFonts w:ascii="仿宋" w:hAnsi="仿宋" w:eastAsia="仿宋"/>
          <w:b w:val="0"/>
          <w:i w:val="0"/>
          <w:caps w:val="0"/>
          <w:color w:val="000000"/>
          <w:spacing w:val="0"/>
          <w:w w:val="100"/>
          <w:kern w:val="0"/>
          <w:sz w:val="32"/>
          <w:szCs w:val="32"/>
          <w:lang w:val="en-US" w:eastAsia="zh-CN"/>
        </w:rPr>
      </w:pPr>
      <w:r>
        <w:rPr>
          <w:rStyle w:val="7"/>
          <w:rFonts w:ascii="仿宋" w:hAnsi="仿宋" w:eastAsia="仿宋" w:cs="仿宋"/>
          <w:b w:val="0"/>
          <w:bCs/>
          <w:i w:val="0"/>
          <w:caps w:val="0"/>
          <w:spacing w:val="0"/>
          <w:w w:val="100"/>
          <w:kern w:val="0"/>
          <w:sz w:val="32"/>
          <w:szCs w:val="32"/>
          <w:lang w:val="en-US" w:eastAsia="zh-CN"/>
        </w:rPr>
        <w:t>我单位2021年无机关运行经费支出，</w:t>
      </w:r>
      <w:r>
        <w:rPr>
          <w:rStyle w:val="7"/>
          <w:rFonts w:ascii="仿宋" w:hAnsi="仿宋" w:eastAsia="仿宋"/>
          <w:b w:val="0"/>
          <w:i w:val="0"/>
          <w:caps w:val="0"/>
          <w:color w:val="000000"/>
          <w:spacing w:val="0"/>
          <w:w w:val="100"/>
          <w:kern w:val="0"/>
          <w:sz w:val="32"/>
          <w:szCs w:val="32"/>
          <w:lang w:val="en-US" w:eastAsia="zh-CN"/>
        </w:rPr>
        <w:t>上年无</w:t>
      </w:r>
      <w:r>
        <w:rPr>
          <w:rStyle w:val="7"/>
          <w:rFonts w:ascii="仿宋" w:hAnsi="仿宋" w:eastAsia="仿宋" w:cs="仿宋"/>
          <w:b w:val="0"/>
          <w:bCs/>
          <w:i w:val="0"/>
          <w:caps w:val="0"/>
          <w:spacing w:val="0"/>
          <w:w w:val="100"/>
          <w:kern w:val="0"/>
          <w:sz w:val="32"/>
          <w:szCs w:val="32"/>
          <w:lang w:val="en-US" w:eastAsia="zh-CN"/>
        </w:rPr>
        <w:t>机关运行经费</w:t>
      </w:r>
      <w:r>
        <w:rPr>
          <w:rStyle w:val="7"/>
          <w:rFonts w:ascii="仿宋" w:hAnsi="仿宋" w:eastAsia="仿宋"/>
          <w:b w:val="0"/>
          <w:i w:val="0"/>
          <w:caps w:val="0"/>
          <w:color w:val="000000"/>
          <w:spacing w:val="0"/>
          <w:w w:val="100"/>
          <w:kern w:val="0"/>
          <w:sz w:val="32"/>
          <w:szCs w:val="32"/>
          <w:lang w:val="en-US" w:eastAsia="zh-CN"/>
        </w:rPr>
        <w:t>支出。</w:t>
      </w:r>
    </w:p>
    <w:p>
      <w:pPr>
        <w:snapToGrid/>
        <w:spacing w:before="0" w:beforeAutospacing="0" w:after="0" w:afterAutospacing="0" w:line="240" w:lineRule="auto"/>
        <w:ind w:firstLine="643"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二）政府采购情况说明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2021年度政府采购支出总额4.5493万元，其中：政府采购货物支出4.5493万元、政府采购工程支出0万元、政府采购服务支出0万元。政府采购授予中小企业合同金额0万元，占政府采购支出总额的0%。其中：授予小微企业合同金额XX万元，占政府采购支出总额的0%。</w:t>
      </w:r>
    </w:p>
    <w:p>
      <w:pPr>
        <w:snapToGrid/>
        <w:spacing w:before="0" w:beforeAutospacing="0" w:after="0" w:afterAutospacing="0" w:line="240" w:lineRule="auto"/>
        <w:ind w:firstLine="517" w:firstLineChars="161"/>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（三）国有资产占用情况说明</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截至2021年12月31日，本部门共有车辆0辆。其中，机要通信用车0辆、应急保障用车0辆、执法执勤用车0辆、特种专业技术用车0辆、其他用车0辆；单价50万元（含）以上的通用设备0台（套），单价100万元（含）以上专用设备0台（套）。</w:t>
      </w:r>
    </w:p>
    <w:p>
      <w:pPr>
        <w:numPr>
          <w:ilvl w:val="0"/>
          <w:numId w:val="1"/>
        </w:numPr>
        <w:snapToGrid/>
        <w:spacing w:before="0" w:beforeAutospacing="0" w:after="0" w:afterAutospacing="0" w:line="240" w:lineRule="auto"/>
        <w:ind w:firstLine="517" w:firstLineChars="161"/>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预算绩效情况说明</w:t>
      </w:r>
    </w:p>
    <w:p>
      <w:pPr>
        <w:widowControl/>
        <w:snapToGrid/>
        <w:spacing w:before="0" w:beforeAutospacing="0" w:after="0" w:afterAutospacing="0" w:line="240" w:lineRule="auto"/>
        <w:ind w:left="0" w:leftChars="0" w:right="0" w:firstLine="960" w:firstLineChars="300"/>
        <w:jc w:val="left"/>
        <w:textAlignment w:val="baseline"/>
        <w:rPr>
          <w:rStyle w:val="7"/>
          <w:rFonts w:ascii="仿宋" w:hAnsi="仿宋" w:eastAsia="仿宋"/>
          <w:b w:val="0"/>
          <w:i w:val="0"/>
          <w:caps w:val="0"/>
          <w:color w:val="333333"/>
          <w:spacing w:val="0"/>
          <w:w w:val="100"/>
          <w:kern w:val="0"/>
          <w:sz w:val="32"/>
          <w:szCs w:val="32"/>
          <w:lang w:val="en-US" w:eastAsia="zh-CN"/>
        </w:rPr>
      </w:pPr>
      <w:r>
        <w:rPr>
          <w:rStyle w:val="7"/>
          <w:rFonts w:ascii="仿宋" w:hAnsi="仿宋" w:eastAsia="仿宋"/>
          <w:b w:val="0"/>
          <w:i w:val="0"/>
          <w:caps w:val="0"/>
          <w:spacing w:val="0"/>
          <w:w w:val="100"/>
          <w:kern w:val="2"/>
          <w:sz w:val="32"/>
          <w:szCs w:val="32"/>
          <w:lang w:val="en-US" w:eastAsia="zh-CN" w:bidi="ar-SA"/>
        </w:rPr>
        <w:t>1、绩效管理评价工作开展情况。</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（1）根据预算绩效管理要求，我单位对2021年度</w:t>
      </w:r>
      <w:r>
        <w:rPr>
          <w:rStyle w:val="7"/>
          <w:rFonts w:ascii="仿宋" w:hAnsi="仿宋" w:eastAsia="仿宋"/>
          <w:b w:val="0"/>
          <w:i w:val="0"/>
          <w:caps w:val="0"/>
          <w:spacing w:val="0"/>
          <w:w w:val="100"/>
          <w:kern w:val="2"/>
          <w:sz w:val="32"/>
          <w:szCs w:val="32"/>
          <w:lang w:val="en-US" w:eastAsia="zh-CN" w:bidi="ar-SA"/>
        </w:rPr>
        <w:t>部门预算项目支出全面开展绩效自评，共涉及项目11个，涉及资金214.33万元。</w:t>
      </w:r>
    </w:p>
    <w:p>
      <w:pPr>
        <w:snapToGrid/>
        <w:spacing w:before="0" w:beforeAutospacing="0" w:after="0" w:afterAutospacing="0" w:line="240" w:lineRule="auto"/>
        <w:ind w:left="0" w:leftChars="0" w:firstLine="640" w:firstLineChars="200"/>
        <w:jc w:val="both"/>
        <w:textAlignment w:val="baseline"/>
        <w:rPr>
          <w:rStyle w:val="7"/>
          <w:rFonts w:ascii="仿宋" w:hAnsi="仿宋" w:eastAsia="仿宋"/>
          <w:b w:val="0"/>
          <w:i w:val="0"/>
          <w:caps w:val="0"/>
          <w:color w:val="333333"/>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（2）</w:t>
      </w:r>
      <w:r>
        <w:rPr>
          <w:rStyle w:val="7"/>
          <w:rFonts w:ascii="仿宋" w:hAnsi="仿宋" w:eastAsia="仿宋"/>
          <w:b w:val="0"/>
          <w:i w:val="0"/>
          <w:caps w:val="0"/>
          <w:spacing w:val="0"/>
          <w:w w:val="100"/>
          <w:kern w:val="2"/>
          <w:sz w:val="32"/>
          <w:szCs w:val="32"/>
          <w:lang w:val="en-US" w:eastAsia="zh-CN" w:bidi="ar-SA"/>
        </w:rPr>
        <w:t>我单位开展部门整体支出绩效评价，共涉及资金214.3万元。从评价情况来看，2021年，我单位强化管理，积极履职，较好完成了年度工作目标。根据部门整体支出绩效评价指标体系，我单位2021年度评价得分95分</w:t>
      </w:r>
      <w:r>
        <w:rPr>
          <w:rStyle w:val="7"/>
          <w:rFonts w:ascii="仿宋" w:hAnsi="仿宋" w:eastAsia="仿宋"/>
          <w:b w:val="0"/>
          <w:i w:val="0"/>
          <w:caps w:val="0"/>
          <w:color w:val="333333"/>
          <w:spacing w:val="0"/>
          <w:w w:val="100"/>
          <w:kern w:val="0"/>
          <w:sz w:val="32"/>
          <w:szCs w:val="32"/>
          <w:lang w:val="en-US" w:eastAsia="zh-CN"/>
        </w:rPr>
        <w:t>。</w:t>
      </w:r>
    </w:p>
    <w:p>
      <w:pPr>
        <w:widowControl/>
        <w:snapToGrid/>
        <w:spacing w:before="0" w:beforeAutospacing="0" w:after="0" w:afterAutospacing="0" w:line="240" w:lineRule="auto"/>
        <w:ind w:left="0" w:leftChars="0" w:right="0" w:firstLine="960" w:firstLineChars="300"/>
        <w:jc w:val="left"/>
        <w:textAlignment w:val="baseline"/>
        <w:rPr>
          <w:rStyle w:val="7"/>
          <w:rFonts w:ascii="仿宋" w:hAnsi="仿宋" w:eastAsia="仿宋"/>
          <w:b w:val="0"/>
          <w:i w:val="0"/>
          <w:caps w:val="0"/>
          <w:color w:val="333333"/>
          <w:spacing w:val="0"/>
          <w:w w:val="100"/>
          <w:kern w:val="0"/>
          <w:sz w:val="32"/>
          <w:szCs w:val="32"/>
          <w:lang w:val="en-US" w:eastAsia="zh-CN"/>
        </w:rPr>
      </w:pPr>
      <w:r>
        <w:rPr>
          <w:rStyle w:val="7"/>
          <w:rFonts w:ascii="仿宋" w:hAnsi="仿宋" w:eastAsia="仿宋"/>
          <w:b w:val="0"/>
          <w:i w:val="0"/>
          <w:caps w:val="0"/>
          <w:color w:val="333333"/>
          <w:spacing w:val="0"/>
          <w:w w:val="100"/>
          <w:kern w:val="0"/>
          <w:sz w:val="32"/>
          <w:szCs w:val="32"/>
          <w:lang w:val="en-US" w:eastAsia="zh-CN"/>
        </w:rPr>
        <w:t>2、</w:t>
      </w:r>
      <w:r>
        <w:rPr>
          <w:rStyle w:val="7"/>
          <w:rFonts w:ascii="仿宋" w:hAnsi="仿宋" w:eastAsia="仿宋"/>
          <w:b w:val="0"/>
          <w:i w:val="0"/>
          <w:caps w:val="0"/>
          <w:spacing w:val="0"/>
          <w:w w:val="100"/>
          <w:kern w:val="2"/>
          <w:sz w:val="32"/>
          <w:szCs w:val="32"/>
          <w:lang w:val="en-US" w:eastAsia="zh-CN" w:bidi="ar-SA"/>
        </w:rPr>
        <w:t>部门决算中重点项目绩效自评结果</w:t>
      </w:r>
      <w:r>
        <w:rPr>
          <w:rStyle w:val="7"/>
          <w:rFonts w:ascii="仿宋" w:hAnsi="仿宋" w:eastAsia="仿宋"/>
          <w:b w:val="0"/>
          <w:i w:val="0"/>
          <w:caps w:val="0"/>
          <w:color w:val="333333"/>
          <w:spacing w:val="0"/>
          <w:w w:val="100"/>
          <w:kern w:val="0"/>
          <w:sz w:val="32"/>
          <w:szCs w:val="32"/>
          <w:lang w:val="en-US" w:eastAsia="zh-CN"/>
        </w:rPr>
        <w:t>。</w:t>
      </w:r>
    </w:p>
    <w:p>
      <w:pPr>
        <w:widowControl/>
        <w:snapToGrid/>
        <w:spacing w:before="0" w:beforeAutospacing="0" w:after="0" w:afterAutospacing="0" w:line="240" w:lineRule="auto"/>
        <w:ind w:right="0" w:firstLine="640" w:firstLineChars="200"/>
        <w:jc w:val="left"/>
        <w:textAlignment w:val="baseline"/>
        <w:rPr>
          <w:rStyle w:val="7"/>
          <w:rFonts w:ascii="仿宋" w:hAnsi="仿宋" w:eastAsia="仿宋"/>
          <w:b w:val="0"/>
          <w:i w:val="0"/>
          <w:caps w:val="0"/>
          <w:spacing w:val="0"/>
          <w:w w:val="100"/>
          <w:kern w:val="2"/>
          <w:sz w:val="32"/>
          <w:szCs w:val="40"/>
          <w:lang w:val="en-US" w:eastAsia="zh-CN" w:bidi="ar-SA"/>
        </w:rPr>
      </w:pPr>
      <w:r>
        <w:rPr>
          <w:rStyle w:val="7"/>
          <w:rFonts w:ascii="仿宋" w:hAnsi="仿宋" w:eastAsia="仿宋"/>
          <w:b w:val="0"/>
          <w:i w:val="0"/>
          <w:caps w:val="0"/>
          <w:color w:val="000000"/>
          <w:spacing w:val="0"/>
          <w:w w:val="100"/>
          <w:kern w:val="2"/>
          <w:sz w:val="32"/>
          <w:szCs w:val="24"/>
          <w:lang w:val="en-US" w:eastAsia="zh-CN" w:bidi="ar-SA"/>
        </w:rPr>
        <w:t>防雷加固</w:t>
      </w:r>
      <w:r>
        <w:rPr>
          <w:rStyle w:val="7"/>
          <w:rFonts w:ascii="仿宋" w:hAnsi="仿宋" w:eastAsia="仿宋"/>
          <w:b w:val="0"/>
          <w:i w:val="0"/>
          <w:caps w:val="0"/>
          <w:spacing w:val="0"/>
          <w:w w:val="100"/>
          <w:kern w:val="2"/>
          <w:sz w:val="32"/>
          <w:szCs w:val="32"/>
          <w:lang w:val="en-US" w:eastAsia="zh-CN" w:bidi="ar-SA"/>
        </w:rPr>
        <w:t>项目绩效自评综述:根据年初设定的绩效目标，项目绩效自评得分为100分。项目全年预算数为2.0375万元，执行数为2.0375万元，完成预算的100%。项目绩效目标完成情况:一是基本情况;二是工作开展情况及评价结论；三是项目绩效指标完成情况。发现的主要问题及原因</w:t>
      </w:r>
      <w:r>
        <w:rPr>
          <w:rStyle w:val="7"/>
          <w:rFonts w:ascii="仿宋" w:hAnsi="仿宋" w:eastAsia="仿宋"/>
          <w:b w:val="0"/>
          <w:i w:val="0"/>
          <w:caps w:val="0"/>
          <w:spacing w:val="0"/>
          <w:w w:val="100"/>
          <w:kern w:val="2"/>
          <w:sz w:val="48"/>
          <w:szCs w:val="48"/>
          <w:lang w:val="en-US" w:eastAsia="zh-CN" w:bidi="ar-SA"/>
        </w:rPr>
        <w:t>:</w:t>
      </w:r>
      <w:r>
        <w:rPr>
          <w:rStyle w:val="7"/>
          <w:rFonts w:ascii="仿宋" w:hAnsi="仿宋" w:eastAsia="仿宋"/>
          <w:b w:val="0"/>
          <w:i w:val="0"/>
          <w:caps w:val="0"/>
          <w:spacing w:val="0"/>
          <w:w w:val="100"/>
          <w:kern w:val="2"/>
          <w:sz w:val="32"/>
          <w:szCs w:val="40"/>
          <w:lang w:val="en-US" w:eastAsia="zh-CN" w:bidi="ar-SA"/>
        </w:rPr>
        <w:t>预算编制和执行偏差问题 资金分配依据不充分、成本费用控制不够精细、项目管理设置不够完善。</w:t>
      </w:r>
      <w:r>
        <w:rPr>
          <w:rStyle w:val="7"/>
          <w:rFonts w:ascii="仿宋" w:hAnsi="仿宋" w:eastAsia="仿宋"/>
          <w:b w:val="0"/>
          <w:i w:val="0"/>
          <w:caps w:val="0"/>
          <w:spacing w:val="0"/>
          <w:w w:val="100"/>
          <w:kern w:val="2"/>
          <w:sz w:val="32"/>
          <w:szCs w:val="32"/>
          <w:lang w:val="en-US" w:eastAsia="zh-CN" w:bidi="ar-SA"/>
        </w:rPr>
        <w:t>下一步改进措施</w:t>
      </w:r>
      <w:r>
        <w:rPr>
          <w:rStyle w:val="7"/>
          <w:rFonts w:ascii="仿宋" w:hAnsi="仿宋" w:eastAsia="仿宋"/>
          <w:b w:val="0"/>
          <w:i w:val="0"/>
          <w:caps w:val="0"/>
          <w:spacing w:val="0"/>
          <w:w w:val="100"/>
          <w:kern w:val="2"/>
          <w:sz w:val="48"/>
          <w:szCs w:val="48"/>
          <w:lang w:val="en-US" w:eastAsia="zh-CN" w:bidi="ar-SA"/>
        </w:rPr>
        <w:t>:</w:t>
      </w:r>
      <w:r>
        <w:rPr>
          <w:rStyle w:val="7"/>
          <w:rFonts w:ascii="仿宋" w:hAnsi="仿宋" w:eastAsia="仿宋"/>
          <w:b w:val="0"/>
          <w:i w:val="0"/>
          <w:caps w:val="0"/>
          <w:spacing w:val="0"/>
          <w:w w:val="100"/>
          <w:kern w:val="2"/>
          <w:sz w:val="32"/>
          <w:szCs w:val="40"/>
          <w:lang w:val="en-US" w:eastAsia="zh-CN" w:bidi="ar-SA"/>
        </w:rPr>
        <w:t>要加大对专项资金的管理力度，专门建立校舍维修和防雷加固专项资金专户，专人专管，封闭运行，不得挤占、挪用、截留、滞留专项资金。</w:t>
      </w:r>
    </w:p>
    <w:p>
      <w:pPr>
        <w:pStyle w:val="12"/>
        <w:widowControl/>
        <w:snapToGrid/>
        <w:spacing w:before="0" w:beforeAutospacing="0" w:after="0" w:afterAutospacing="0" w:line="240" w:lineRule="auto"/>
        <w:ind w:firstLine="960" w:firstLineChars="3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公用经费项目绩效自评综述:根据年初设定的绩效目标，项目绩效自评得分为100分。项目全年预算数为37.72万元，执行数为37.72万元，完成预算的100%。项目绩效目标完成情况:一是基本情况;二是工作开展情况及评价结论；三是项目绩效指标完成情况。发现的主要问题及原因:</w:t>
      </w:r>
      <w:r>
        <w:rPr>
          <w:rStyle w:val="7"/>
          <w:rFonts w:ascii="仿宋" w:hAnsi="仿宋" w:eastAsia="仿宋"/>
          <w:b w:val="0"/>
          <w:i w:val="0"/>
          <w:caps w:val="0"/>
          <w:spacing w:val="0"/>
          <w:w w:val="100"/>
          <w:kern w:val="0"/>
          <w:sz w:val="32"/>
          <w:szCs w:val="44"/>
          <w:lang w:val="en-US" w:eastAsia="zh-CN" w:bidi="ar-SA"/>
        </w:rPr>
        <w:t>项目管理设置不够完善。</w:t>
      </w:r>
      <w:r>
        <w:rPr>
          <w:rStyle w:val="7"/>
          <w:rFonts w:ascii="仿宋" w:hAnsi="仿宋" w:eastAsia="仿宋"/>
          <w:b w:val="0"/>
          <w:i w:val="0"/>
          <w:caps w:val="0"/>
          <w:spacing w:val="0"/>
          <w:w w:val="100"/>
          <w:kern w:val="2"/>
          <w:sz w:val="32"/>
          <w:szCs w:val="32"/>
          <w:lang w:val="en-US" w:eastAsia="zh-CN" w:bidi="ar-SA"/>
        </w:rPr>
        <w:t>下一步改进措施:要加大对专项资金的管理力度，建立专项资金专户，专人专管，封闭运行，不得挤占、挪用、截留、滞留专项资金，否则按照有关规定，追究有关责任人的责任。</w:t>
      </w:r>
    </w:p>
    <w:p>
      <w:pPr>
        <w:pStyle w:val="12"/>
        <w:snapToGrid/>
        <w:spacing w:before="0" w:beforeAutospacing="0" w:after="0" w:afterAutospacing="0" w:line="240" w:lineRule="auto"/>
        <w:ind w:firstLine="624" w:firstLineChars="195"/>
        <w:jc w:val="left"/>
        <w:textAlignment w:val="baseline"/>
        <w:rPr>
          <w:rStyle w:val="7"/>
          <w:rFonts w:ascii="仿宋" w:hAnsi="仿宋" w:eastAsia="仿宋"/>
          <w:b w:val="0"/>
          <w:i w:val="0"/>
          <w:caps w:val="0"/>
          <w:spacing w:val="0"/>
          <w:w w:val="100"/>
          <w:kern w:val="2"/>
          <w:sz w:val="32"/>
          <w:szCs w:val="32"/>
          <w:lang w:val="en-US" w:eastAsia="zh-CN" w:bidi="ar-SA"/>
        </w:rPr>
      </w:pPr>
    </w:p>
    <w:p>
      <w:pPr>
        <w:pStyle w:val="12"/>
        <w:snapToGrid/>
        <w:spacing w:before="0" w:beforeAutospacing="0" w:after="0" w:afterAutospacing="0" w:line="240" w:lineRule="auto"/>
        <w:ind w:left="0" w:leftChars="0" w:firstLine="640" w:firstLineChars="200"/>
        <w:jc w:val="left"/>
        <w:textAlignment w:val="baseline"/>
        <w:rPr>
          <w:rStyle w:val="7"/>
          <w:rFonts w:ascii="仿宋" w:hAnsi="仿宋" w:eastAsia="仿宋"/>
          <w:b w:val="0"/>
          <w:i w:val="0"/>
          <w:caps w:val="0"/>
          <w:color w:val="333333"/>
          <w:spacing w:val="0"/>
          <w:w w:val="100"/>
          <w:kern w:val="0"/>
          <w:sz w:val="32"/>
          <w:szCs w:val="32"/>
          <w:lang w:val="en-US" w:eastAsia="zh-CN"/>
        </w:rPr>
      </w:pPr>
      <w:r>
        <w:rPr>
          <w:rStyle w:val="7"/>
          <w:rFonts w:ascii="仿宋" w:hAnsi="仿宋" w:eastAsia="仿宋"/>
          <w:b w:val="0"/>
          <w:i w:val="0"/>
          <w:caps w:val="0"/>
          <w:color w:val="000000"/>
          <w:spacing w:val="0"/>
          <w:w w:val="100"/>
          <w:kern w:val="0"/>
          <w:sz w:val="32"/>
          <w:szCs w:val="28"/>
          <w:lang w:val="en-US" w:eastAsia="zh-CN" w:bidi="ar-SA"/>
        </w:rPr>
        <w:t>营养餐</w:t>
      </w:r>
      <w:r>
        <w:rPr>
          <w:rStyle w:val="7"/>
          <w:rFonts w:ascii="仿宋" w:hAnsi="仿宋" w:eastAsia="仿宋"/>
          <w:b w:val="0"/>
          <w:i w:val="0"/>
          <w:caps w:val="0"/>
          <w:spacing w:val="0"/>
          <w:w w:val="100"/>
          <w:kern w:val="2"/>
          <w:sz w:val="32"/>
          <w:szCs w:val="32"/>
          <w:lang w:val="en-US" w:eastAsia="zh-CN" w:bidi="ar-SA"/>
        </w:rPr>
        <w:t>项目绩效自评综述:根据年初设定的绩效目标，项目绩效自评得分为100分。项目全年预算数为35万元，执行数为35万元，完成预算的100%。项目绩效目标完成情况:一是基本情况;二是工作开展情况及评价结论；三是项目绩效指标完成情况。发现的主要问题及原因:</w:t>
      </w:r>
      <w:r>
        <w:rPr>
          <w:rStyle w:val="7"/>
          <w:rFonts w:ascii="仿宋" w:hAnsi="仿宋" w:eastAsia="仿宋"/>
          <w:b w:val="0"/>
          <w:i w:val="0"/>
          <w:caps w:val="0"/>
          <w:spacing w:val="0"/>
          <w:w w:val="100"/>
          <w:kern w:val="0"/>
          <w:sz w:val="36"/>
          <w:szCs w:val="48"/>
          <w:lang w:val="en-US" w:eastAsia="zh-CN" w:bidi="ar-SA"/>
        </w:rPr>
        <w:t>还未制定该项目的实施细则，制度还需健全、完善。</w:t>
      </w:r>
      <w:r>
        <w:rPr>
          <w:rStyle w:val="7"/>
          <w:rFonts w:ascii="仿宋" w:hAnsi="仿宋" w:eastAsia="仿宋"/>
          <w:b w:val="0"/>
          <w:i w:val="0"/>
          <w:caps w:val="0"/>
          <w:spacing w:val="0"/>
          <w:w w:val="100"/>
          <w:kern w:val="2"/>
          <w:sz w:val="32"/>
          <w:szCs w:val="32"/>
          <w:lang w:val="en-US" w:eastAsia="zh-CN" w:bidi="ar-SA"/>
        </w:rPr>
        <w:t>下一步改进措施:加强政策学习，提高思想认识。提高单位领导及财务人员的财务政策意识，更加建立健全部门预算绩效管理的法律法规体系；完善预算绩效管理体系与指标评估体系；提升绩效管理从业人员的专业素质和思想水平。</w:t>
      </w:r>
    </w:p>
    <w:p>
      <w:pPr>
        <w:pStyle w:val="12"/>
        <w:widowControl/>
        <w:snapToGrid/>
        <w:spacing w:before="0" w:beforeAutospacing="0" w:after="0" w:afterAutospacing="0" w:line="240" w:lineRule="auto"/>
        <w:ind w:firstLine="626" w:firstLineChars="195"/>
        <w:jc w:val="both"/>
        <w:textAlignment w:val="baseline"/>
        <w:rPr>
          <w:rStyle w:val="7"/>
          <w:rFonts w:ascii="仿宋" w:hAnsi="仿宋" w:eastAsia="仿宋"/>
          <w:b/>
          <w:i w:val="0"/>
          <w:caps w:val="0"/>
          <w:spacing w:val="0"/>
          <w:w w:val="100"/>
          <w:kern w:val="0"/>
          <w:sz w:val="32"/>
          <w:szCs w:val="32"/>
          <w:lang w:val="en-US" w:eastAsia="zh-CN" w:bidi="ar-SA"/>
        </w:rPr>
      </w:pPr>
      <w:r>
        <w:rPr>
          <w:rStyle w:val="7"/>
          <w:rFonts w:ascii="仿宋" w:hAnsi="仿宋" w:eastAsia="仿宋"/>
          <w:b/>
          <w:i w:val="0"/>
          <w:caps w:val="0"/>
          <w:spacing w:val="0"/>
          <w:w w:val="100"/>
          <w:kern w:val="0"/>
          <w:sz w:val="32"/>
          <w:szCs w:val="32"/>
          <w:lang w:val="en-US" w:eastAsia="zh-CN" w:bidi="ar-SA"/>
        </w:rPr>
        <w:t>（五）其他需要说明的事项</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无</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第四部分  名词解释</w:t>
      </w:r>
    </w:p>
    <w:p>
      <w:pPr>
        <w:numPr>
          <w:ilvl w:val="0"/>
          <w:numId w:val="2"/>
        </w:numPr>
        <w:snapToGrid/>
        <w:spacing w:before="0" w:beforeAutospacing="0" w:after="0" w:afterAutospacing="0" w:line="240" w:lineRule="auto"/>
        <w:ind w:left="1395" w:hanging="72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财政拨款收入：</w:t>
      </w:r>
      <w:r>
        <w:rPr>
          <w:rStyle w:val="7"/>
          <w:rFonts w:ascii="仿宋" w:hAnsi="仿宋" w:eastAsia="仿宋"/>
          <w:b w:val="0"/>
          <w:i w:val="0"/>
          <w:caps w:val="0"/>
          <w:spacing w:val="0"/>
          <w:w w:val="100"/>
          <w:kern w:val="2"/>
          <w:sz w:val="32"/>
          <w:szCs w:val="32"/>
          <w:lang w:val="en-US" w:eastAsia="zh-CN" w:bidi="ar-SA"/>
        </w:rPr>
        <w:t>指单位从同级财政部门取得的财政预</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算资金。</w:t>
      </w:r>
    </w:p>
    <w:p>
      <w:pPr>
        <w:numPr>
          <w:ilvl w:val="0"/>
          <w:numId w:val="2"/>
        </w:numPr>
        <w:snapToGrid/>
        <w:spacing w:before="0" w:beforeAutospacing="0" w:after="0" w:afterAutospacing="0" w:line="240" w:lineRule="auto"/>
        <w:ind w:left="1395" w:hanging="72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事业收入：</w:t>
      </w:r>
      <w:r>
        <w:rPr>
          <w:rStyle w:val="7"/>
          <w:rFonts w:ascii="仿宋" w:hAnsi="仿宋" w:eastAsia="仿宋"/>
          <w:b w:val="0"/>
          <w:i w:val="0"/>
          <w:caps w:val="0"/>
          <w:spacing w:val="0"/>
          <w:w w:val="100"/>
          <w:kern w:val="2"/>
          <w:sz w:val="32"/>
          <w:szCs w:val="32"/>
          <w:lang w:val="en-US" w:eastAsia="zh-CN" w:bidi="ar-SA"/>
        </w:rPr>
        <w:t>指事业单位开展专业业务活动及辅助活动</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取得的收入。</w:t>
      </w:r>
    </w:p>
    <w:p>
      <w:pPr>
        <w:numPr>
          <w:ilvl w:val="0"/>
          <w:numId w:val="2"/>
        </w:numPr>
        <w:snapToGrid/>
        <w:spacing w:before="0" w:beforeAutospacing="0" w:after="0" w:afterAutospacing="0" w:line="240" w:lineRule="auto"/>
        <w:ind w:left="1395" w:hanging="72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其他收入：</w:t>
      </w:r>
      <w:r>
        <w:rPr>
          <w:rStyle w:val="7"/>
          <w:rFonts w:ascii="仿宋" w:hAnsi="仿宋" w:eastAsia="仿宋"/>
          <w:b w:val="0"/>
          <w:i w:val="0"/>
          <w:caps w:val="0"/>
          <w:spacing w:val="0"/>
          <w:w w:val="100"/>
          <w:kern w:val="2"/>
          <w:sz w:val="32"/>
          <w:szCs w:val="32"/>
          <w:lang w:val="en-US" w:eastAsia="zh-CN" w:bidi="ar-SA"/>
        </w:rPr>
        <w:t>指单位取得的除上述收入以外的各项收</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入。主要是事业单位固定资产出租收入、存款利息收入等。</w:t>
      </w:r>
    </w:p>
    <w:p>
      <w:pPr>
        <w:snapToGrid/>
        <w:spacing w:before="0" w:beforeAutospacing="0" w:after="0" w:afterAutospacing="0" w:line="240" w:lineRule="auto"/>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四、年初结转和结余：</w:t>
      </w:r>
      <w:r>
        <w:rPr>
          <w:rStyle w:val="7"/>
          <w:rFonts w:ascii="仿宋" w:hAnsi="仿宋" w:eastAsia="仿宋"/>
          <w:b w:val="0"/>
          <w:i w:val="0"/>
          <w:caps w:val="0"/>
          <w:spacing w:val="0"/>
          <w:w w:val="100"/>
          <w:kern w:val="2"/>
          <w:sz w:val="32"/>
          <w:szCs w:val="32"/>
          <w:lang w:val="en-US" w:eastAsia="zh-CN" w:bidi="ar-SA"/>
        </w:rPr>
        <w:t>指单位以前年度尚未完成、到</w:t>
      </w:r>
    </w:p>
    <w:p>
      <w:pPr>
        <w:snapToGrid/>
        <w:spacing w:before="0" w:beforeAutospacing="0" w:after="0" w:afterAutospacing="0" w:line="240" w:lineRule="auto"/>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本年仍按原规定用途继续使用的资金，或项目已完成等产生的结余资金。</w:t>
      </w:r>
    </w:p>
    <w:p>
      <w:pPr>
        <w:snapToGrid/>
        <w:spacing w:before="0" w:beforeAutospacing="0" w:after="0" w:afterAutospacing="0" w:line="240" w:lineRule="auto"/>
        <w:ind w:firstLine="643" w:firstLineChars="200"/>
        <w:jc w:val="left"/>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cs="仿宋"/>
          <w:b/>
          <w:bCs/>
          <w:i w:val="0"/>
          <w:caps w:val="0"/>
          <w:spacing w:val="0"/>
          <w:w w:val="100"/>
          <w:kern w:val="2"/>
          <w:sz w:val="32"/>
          <w:szCs w:val="32"/>
          <w:lang w:val="en-US" w:eastAsia="zh-CN" w:bidi="ar-SA"/>
        </w:rPr>
        <w:t>五、年末结转和结余：</w:t>
      </w:r>
      <w:r>
        <w:rPr>
          <w:rStyle w:val="7"/>
          <w:rFonts w:ascii="仿宋" w:hAnsi="仿宋" w:eastAsia="仿宋"/>
          <w:b w:val="0"/>
          <w:i w:val="0"/>
          <w:caps w:val="0"/>
          <w:spacing w:val="0"/>
          <w:w w:val="100"/>
          <w:kern w:val="2"/>
          <w:sz w:val="32"/>
          <w:szCs w:val="32"/>
          <w:lang w:val="en-US" w:eastAsia="zh-CN" w:bidi="ar-SA"/>
        </w:rPr>
        <w:t>指单位按有关规定结转到下年或以</w:t>
      </w:r>
    </w:p>
    <w:p>
      <w:pPr>
        <w:snapToGrid/>
        <w:spacing w:before="0" w:beforeAutospacing="0" w:after="0" w:afterAutospacing="0" w:line="240" w:lineRule="auto"/>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后年度继续使用的资金，或项目已完成等产生的结余资金。</w:t>
      </w:r>
    </w:p>
    <w:p>
      <w:pPr>
        <w:numPr>
          <w:ilvl w:val="0"/>
          <w:numId w:val="3"/>
        </w:numPr>
        <w:snapToGrid/>
        <w:spacing w:before="0" w:beforeAutospacing="0" w:after="0" w:afterAutospacing="0" w:line="240" w:lineRule="auto"/>
        <w:ind w:left="1360" w:hanging="72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基本支出：</w:t>
      </w:r>
      <w:r>
        <w:rPr>
          <w:rStyle w:val="7"/>
          <w:rFonts w:ascii="仿宋" w:hAnsi="仿宋" w:eastAsia="仿宋"/>
          <w:b w:val="0"/>
          <w:i w:val="0"/>
          <w:caps w:val="0"/>
          <w:spacing w:val="0"/>
          <w:w w:val="100"/>
          <w:kern w:val="2"/>
          <w:sz w:val="32"/>
          <w:szCs w:val="32"/>
          <w:lang w:val="en-US" w:eastAsia="zh-CN" w:bidi="ar-SA"/>
        </w:rPr>
        <w:t>指为保障机构正常运转、完成日常工作任</w:t>
      </w:r>
    </w:p>
    <w:p>
      <w:pPr>
        <w:snapToGrid/>
        <w:spacing w:before="0" w:beforeAutospacing="0" w:after="0" w:afterAutospacing="0" w:line="240" w:lineRule="auto"/>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务而发生的人员支出和公用支出。</w:t>
      </w:r>
    </w:p>
    <w:p>
      <w:pPr>
        <w:snapToGrid/>
        <w:spacing w:before="0" w:beforeAutospacing="0" w:after="0" w:afterAutospacing="0" w:line="240" w:lineRule="auto"/>
        <w:ind w:firstLine="630" w:firstLineChars="196"/>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七、项目支出：</w:t>
      </w:r>
      <w:r>
        <w:rPr>
          <w:rStyle w:val="7"/>
          <w:rFonts w:ascii="仿宋" w:hAnsi="仿宋" w:eastAsia="仿宋"/>
          <w:b w:val="0"/>
          <w:i w:val="0"/>
          <w:caps w:val="0"/>
          <w:spacing w:val="0"/>
          <w:w w:val="100"/>
          <w:kern w:val="2"/>
          <w:sz w:val="32"/>
          <w:szCs w:val="32"/>
          <w:lang w:val="en-US" w:eastAsia="zh-CN" w:bidi="ar-SA"/>
        </w:rPr>
        <w:t>指在基本支出之外为完成特定行政任务和事业发展目标所发生的支出。</w:t>
      </w:r>
    </w:p>
    <w:p>
      <w:pPr>
        <w:snapToGrid/>
        <w:spacing w:before="0" w:beforeAutospacing="0" w:after="0" w:afterAutospacing="0" w:line="240" w:lineRule="auto"/>
        <w:ind w:firstLine="630" w:firstLineChars="196"/>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八、“三公”经费：</w:t>
      </w:r>
      <w:r>
        <w:rPr>
          <w:rStyle w:val="7"/>
          <w:rFonts w:ascii="仿宋" w:hAnsi="仿宋" w:eastAsia="仿宋"/>
          <w:b w:val="0"/>
          <w:i w:val="0"/>
          <w:caps w:val="0"/>
          <w:spacing w:val="0"/>
          <w:w w:val="100"/>
          <w:kern w:val="2"/>
          <w:sz w:val="32"/>
          <w:szCs w:val="32"/>
          <w:lang w:val="en-US" w:eastAsia="zh-CN" w:bidi="ar-SA"/>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napToGrid/>
        <w:spacing w:before="0" w:beforeAutospacing="0" w:after="0" w:afterAutospacing="0" w:line="240" w:lineRule="auto"/>
        <w:ind w:firstLine="643"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i w:val="0"/>
          <w:caps w:val="0"/>
          <w:spacing w:val="0"/>
          <w:w w:val="100"/>
          <w:kern w:val="2"/>
          <w:sz w:val="32"/>
          <w:szCs w:val="32"/>
          <w:lang w:val="en-US" w:eastAsia="zh-CN" w:bidi="ar-SA"/>
        </w:rPr>
        <w:t>九、机关运行经费：</w:t>
      </w:r>
      <w:r>
        <w:rPr>
          <w:rStyle w:val="7"/>
          <w:rFonts w:ascii="仿宋" w:hAnsi="仿宋" w:eastAsia="仿宋"/>
          <w:b w:val="0"/>
          <w:i w:val="0"/>
          <w:caps w:val="0"/>
          <w:spacing w:val="0"/>
          <w:w w:val="100"/>
          <w:kern w:val="2"/>
          <w:sz w:val="32"/>
          <w:szCs w:val="32"/>
          <w:lang w:val="en-US" w:eastAsia="zh-CN" w:bidi="ar-SA"/>
        </w:rPr>
        <w:t>指行政单位和参照公务员法管理的事业单位使用一般公共预算安排的基本支出中的日常公用经费支出。</w:t>
      </w:r>
    </w:p>
    <w:p>
      <w:pPr>
        <w:snapToGrid/>
        <w:spacing w:before="0" w:beforeAutospacing="0" w:after="0" w:afterAutospacing="0" w:line="240" w:lineRule="auto"/>
        <w:ind w:firstLine="640" w:firstLineChars="200"/>
        <w:jc w:val="both"/>
        <w:textAlignment w:val="baseline"/>
        <w:rPr>
          <w:rStyle w:val="7"/>
          <w:rFonts w:ascii="仿宋" w:hAnsi="仿宋" w:eastAsia="仿宋"/>
          <w:b w:val="0"/>
          <w:i w:val="0"/>
          <w:caps w:val="0"/>
          <w:spacing w:val="0"/>
          <w:w w:val="100"/>
          <w:kern w:val="2"/>
          <w:sz w:val="32"/>
          <w:szCs w:val="32"/>
          <w:lang w:val="en-US" w:eastAsia="zh-CN" w:bidi="ar-SA"/>
        </w:rPr>
      </w:pPr>
      <w:r>
        <w:rPr>
          <w:rStyle w:val="7"/>
          <w:rFonts w:ascii="仿宋" w:hAnsi="仿宋" w:eastAsia="仿宋"/>
          <w:b w:val="0"/>
          <w:i w:val="0"/>
          <w:caps w:val="0"/>
          <w:spacing w:val="0"/>
          <w:w w:val="100"/>
          <w:kern w:val="2"/>
          <w:sz w:val="32"/>
          <w:szCs w:val="32"/>
          <w:lang w:val="en-US" w:eastAsia="zh-CN" w:bidi="ar-SA"/>
        </w:rPr>
        <w:t>第五部分  附件</w:t>
      </w:r>
    </w:p>
    <w:p>
      <w:pPr>
        <w:spacing w:line="600" w:lineRule="exact"/>
        <w:ind w:firstLine="643" w:firstLineChars="200"/>
        <w:rPr>
          <w:rFonts w:hint="default" w:ascii="仿宋" w:hAnsi="仿宋" w:eastAsia="仿宋"/>
          <w:color w:val="auto"/>
          <w:sz w:val="32"/>
          <w:szCs w:val="32"/>
          <w:highlight w:val="red"/>
          <w:lang w:val="en-US" w:eastAsia="zh-CN"/>
        </w:rPr>
      </w:pPr>
      <w:r>
        <w:rPr>
          <w:rStyle w:val="7"/>
          <w:rFonts w:ascii="仿宋" w:hAnsi="仿宋" w:eastAsia="仿宋"/>
          <w:b/>
          <w:i w:val="0"/>
          <w:caps w:val="0"/>
          <w:spacing w:val="0"/>
          <w:w w:val="100"/>
          <w:kern w:val="2"/>
          <w:sz w:val="32"/>
          <w:szCs w:val="32"/>
          <w:lang w:val="en-US" w:eastAsia="zh-CN" w:bidi="ar-SA"/>
        </w:rPr>
        <w:t>附件：</w:t>
      </w:r>
      <w:r>
        <w:rPr>
          <w:rFonts w:hint="eastAsia" w:ascii="仿宋_GB2312" w:hAnsi="Times New Roman" w:eastAsia="仿宋_GB2312" w:cs="Times New Roman"/>
          <w:sz w:val="32"/>
          <w:szCs w:val="32"/>
          <w:lang w:val="en-US" w:eastAsia="zh-CN"/>
        </w:rPr>
        <w:t>2021年度部门决算公开报表及绩效评价自评表和整体绩效评价表</w:t>
      </w:r>
    </w:p>
    <w:p>
      <w:pPr>
        <w:snapToGrid/>
        <w:spacing w:before="0" w:beforeAutospacing="0" w:after="0" w:afterAutospacing="0" w:line="240" w:lineRule="auto"/>
        <w:ind w:firstLine="1040" w:firstLineChars="200"/>
        <w:jc w:val="both"/>
        <w:textAlignment w:val="baseline"/>
        <w:rPr>
          <w:rStyle w:val="7"/>
          <w:rFonts w:ascii="仿宋" w:hAnsi="仿宋" w:eastAsia="仿宋"/>
          <w:b w:val="0"/>
          <w:i w:val="0"/>
          <w:caps w:val="0"/>
          <w:spacing w:val="0"/>
          <w:w w:val="100"/>
          <w:kern w:val="2"/>
          <w:sz w:val="52"/>
          <w:szCs w:val="96"/>
          <w:lang w:val="en-US" w:eastAsia="zh-CN" w:bidi="ar-SA"/>
        </w:rPr>
        <w:sectPr>
          <w:footerReference r:id="rId3" w:type="default"/>
          <w:pgSz w:w="11906" w:h="16838"/>
          <w:pgMar w:top="1440" w:right="1463" w:bottom="1440" w:left="1463" w:header="851" w:footer="992" w:gutter="0"/>
          <w:paperSrc/>
          <w:lnNumType w:countBy="0"/>
          <w:pgNumType w:start="1"/>
          <w:cols w:space="425" w:num="1"/>
          <w:vAlign w:val="top"/>
          <w:docGrid w:type="lines" w:linePitch="381" w:charSpace="0"/>
        </w:sectPr>
      </w:pPr>
      <w:bookmarkStart w:id="0" w:name="_GoBack"/>
      <w:bookmarkEnd w:id="0"/>
    </w:p>
    <w:p>
      <w:pPr>
        <w:tabs>
          <w:tab w:val="left" w:pos="2862"/>
        </w:tabs>
        <w:snapToGrid/>
        <w:spacing w:before="0" w:beforeAutospacing="0" w:after="0" w:afterAutospacing="0" w:line="240" w:lineRule="auto"/>
        <w:ind w:firstLine="420" w:firstLineChars="200"/>
        <w:jc w:val="left"/>
        <w:textAlignment w:val="baseline"/>
        <w:rPr>
          <w:rStyle w:val="7"/>
          <w:rFonts w:ascii="Times New Roman" w:hAnsi="Times New Roman" w:eastAsia="宋体"/>
          <w:b w:val="0"/>
          <w:i w:val="0"/>
          <w:caps w:val="0"/>
          <w:spacing w:val="0"/>
          <w:w w:val="100"/>
          <w:kern w:val="2"/>
          <w:sz w:val="21"/>
          <w:szCs w:val="24"/>
          <w:lang w:val="en-US" w:eastAsia="zh-CN" w:bidi="ar-SA"/>
        </w:rPr>
      </w:pPr>
    </w:p>
    <w:sectPr>
      <w:headerReference r:id="rId6" w:type="first"/>
      <w:footerReference r:id="rId9" w:type="first"/>
      <w:headerReference r:id="rId4" w:type="default"/>
      <w:footerReference r:id="rId7" w:type="default"/>
      <w:headerReference r:id="rId5" w:type="even"/>
      <w:footerReference r:id="rId8" w:type="even"/>
      <w:pgSz w:w="12240" w:h="15840"/>
      <w:pgMar w:top="1440" w:right="1800" w:bottom="1440" w:left="1800" w:header="567" w:footer="992" w:gutter="0"/>
      <w:paperSrc/>
      <w:lnNumType w:countBy="0"/>
      <w:cols w:space="425" w:num="1"/>
      <w:vAlign w:val="top"/>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firstLine="360"/>
      <w:jc w:val="center"/>
      <w:textAlignment w:val="baseline"/>
      <w:rPr>
        <w:rStyle w:val="7"/>
        <w:kern w:val="2"/>
        <w:sz w:val="18"/>
        <w:szCs w:val="18"/>
        <w:lang w:val="en-US" w:eastAsia="zh-CN" w:bidi="ar-SA"/>
      </w:rPr>
    </w:pPr>
  </w:p>
  <w:p>
    <w:pPr>
      <w:pStyle w:val="2"/>
      <w:widowControl/>
      <w:snapToGrid w:val="0"/>
      <w:ind w:firstLineChars="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left"/>
      <w:textAlignment w:val="baseline"/>
      <w:rPr>
        <w:rStyle w:val="7"/>
        <w:rFonts w:eastAsia="仿宋_GB2312"/>
        <w:kern w:val="2"/>
        <w:sz w:val="18"/>
        <w:szCs w:val="18"/>
        <w:lang w:val="en-US" w:eastAsia="zh-CN" w:bidi="ar-SA"/>
      </w:rPr>
    </w:pPr>
  </w:p>
  <w:p>
    <w:pPr>
      <w:snapToGrid w:val="0"/>
      <w:spacing w:line="240" w:lineRule="atLeast"/>
      <w:ind w:firstLine="360" w:firstLineChars="200"/>
      <w:jc w:val="left"/>
      <w:textAlignment w:val="baseline"/>
      <w:rPr>
        <w:rStyle w:val="7"/>
        <w:rFonts w:eastAsia="仿宋_GB2312"/>
        <w:kern w:val="2"/>
        <w:sz w:val="18"/>
        <w:szCs w:val="18"/>
        <w:lang w:val="en-US" w:eastAsia="zh-CN" w:bidi="ar-SA"/>
      </w:rPr>
    </w:pPr>
  </w:p>
  <w:p>
    <w:pPr>
      <w:snapToGrid w:val="0"/>
      <w:spacing w:line="240" w:lineRule="atLeast"/>
      <w:ind w:firstLine="360" w:firstLineChars="200"/>
      <w:jc w:val="left"/>
      <w:textAlignment w:val="baseline"/>
      <w:rPr>
        <w:rStyle w:val="7"/>
        <w:rFonts w:eastAsia="仿宋_GB2312"/>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left"/>
      <w:textAlignment w:val="baseline"/>
      <w:rPr>
        <w:rStyle w:val="7"/>
        <w:rFonts w:eastAsia="仿宋_GB2312"/>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left"/>
      <w:textAlignment w:val="baseline"/>
      <w:rPr>
        <w:rStyle w:val="7"/>
        <w:rFonts w:eastAsia="仿宋_GB2312"/>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center"/>
      <w:textAlignment w:val="baseline"/>
      <w:rPr>
        <w:rStyle w:val="7"/>
        <w:rFonts w:eastAsia="仿宋_GB2312"/>
        <w:kern w:val="2"/>
        <w:sz w:val="18"/>
        <w:szCs w:val="18"/>
        <w:lang w:val="en-US" w:eastAsia="zh-CN" w:bidi="ar-SA"/>
      </w:rPr>
    </w:pPr>
  </w:p>
  <w:p>
    <w:pPr>
      <w:snapToGrid w:val="0"/>
      <w:spacing w:line="240" w:lineRule="auto"/>
      <w:ind w:firstLineChars="0"/>
      <w:jc w:val="center"/>
      <w:textAlignment w:val="baseline"/>
      <w:rPr>
        <w:rStyle w:val="7"/>
        <w:rFonts w:eastAsia="仿宋_GB2312"/>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center"/>
      <w:textAlignment w:val="baseline"/>
      <w:rPr>
        <w:rStyle w:val="7"/>
        <w:rFonts w:eastAsia="仿宋_GB2312"/>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ind w:firstLine="360" w:firstLineChars="200"/>
      <w:jc w:val="center"/>
      <w:textAlignment w:val="baseline"/>
      <w:rPr>
        <w:rStyle w:val="7"/>
        <w:rFonts w:eastAsia="仿宋_GB2312"/>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A544E"/>
    <w:multiLevelType w:val="multilevel"/>
    <w:tmpl w:val="486A544E"/>
    <w:lvl w:ilvl="0" w:tentative="0">
      <w:start w:val="6"/>
      <w:numFmt w:val="japaneseCounting"/>
      <w:lvlText w:val="%1、"/>
      <w:lvlJc w:val="left"/>
      <w:pPr>
        <w:widowControl/>
        <w:ind w:left="1360" w:hanging="720"/>
        <w:textAlignment w:val="baseline"/>
      </w:pPr>
      <w:rPr>
        <w:rStyle w:val="7"/>
        <w:b/>
      </w:rPr>
    </w:lvl>
    <w:lvl w:ilvl="1" w:tentative="0">
      <w:start w:val="1"/>
      <w:numFmt w:val="lowerLetter"/>
      <w:lvlText w:val="%1)"/>
      <w:lvlJc w:val="left"/>
      <w:pPr>
        <w:widowControl/>
        <w:ind w:left="1480" w:hanging="420"/>
        <w:textAlignment w:val="baseline"/>
      </w:pPr>
      <w:rPr>
        <w:rStyle w:val="7"/>
      </w:rPr>
    </w:lvl>
    <w:lvl w:ilvl="2" w:tentative="0">
      <w:start w:val="1"/>
      <w:numFmt w:val="lowerRoman"/>
      <w:lvlText w:val="%1."/>
      <w:lvlJc w:val="right"/>
      <w:pPr>
        <w:widowControl/>
        <w:ind w:left="1900" w:hanging="420"/>
        <w:textAlignment w:val="baseline"/>
      </w:pPr>
      <w:rPr>
        <w:rStyle w:val="7"/>
      </w:rPr>
    </w:lvl>
    <w:lvl w:ilvl="3" w:tentative="0">
      <w:start w:val="1"/>
      <w:numFmt w:val="decimal"/>
      <w:lvlText w:val="%1."/>
      <w:lvlJc w:val="left"/>
      <w:pPr>
        <w:widowControl/>
        <w:ind w:left="2320" w:hanging="420"/>
        <w:textAlignment w:val="baseline"/>
      </w:pPr>
      <w:rPr>
        <w:rStyle w:val="7"/>
      </w:rPr>
    </w:lvl>
    <w:lvl w:ilvl="4" w:tentative="0">
      <w:start w:val="1"/>
      <w:numFmt w:val="lowerLetter"/>
      <w:lvlText w:val="%1)"/>
      <w:lvlJc w:val="left"/>
      <w:pPr>
        <w:widowControl/>
        <w:ind w:left="2740" w:hanging="420"/>
        <w:textAlignment w:val="baseline"/>
      </w:pPr>
      <w:rPr>
        <w:rStyle w:val="7"/>
      </w:rPr>
    </w:lvl>
    <w:lvl w:ilvl="5" w:tentative="0">
      <w:start w:val="1"/>
      <w:numFmt w:val="lowerRoman"/>
      <w:lvlText w:val="%1."/>
      <w:lvlJc w:val="right"/>
      <w:pPr>
        <w:widowControl/>
        <w:ind w:left="3160" w:hanging="420"/>
        <w:textAlignment w:val="baseline"/>
      </w:pPr>
      <w:rPr>
        <w:rStyle w:val="7"/>
      </w:rPr>
    </w:lvl>
    <w:lvl w:ilvl="6" w:tentative="0">
      <w:start w:val="1"/>
      <w:numFmt w:val="decimal"/>
      <w:lvlText w:val="%1."/>
      <w:lvlJc w:val="left"/>
      <w:pPr>
        <w:widowControl/>
        <w:ind w:left="3580" w:hanging="420"/>
        <w:textAlignment w:val="baseline"/>
      </w:pPr>
      <w:rPr>
        <w:rStyle w:val="7"/>
      </w:rPr>
    </w:lvl>
    <w:lvl w:ilvl="7" w:tentative="0">
      <w:start w:val="1"/>
      <w:numFmt w:val="lowerLetter"/>
      <w:lvlText w:val="%1)"/>
      <w:lvlJc w:val="left"/>
      <w:pPr>
        <w:widowControl/>
        <w:ind w:left="4000" w:hanging="420"/>
        <w:textAlignment w:val="baseline"/>
      </w:pPr>
      <w:rPr>
        <w:rStyle w:val="7"/>
      </w:rPr>
    </w:lvl>
    <w:lvl w:ilvl="8" w:tentative="0">
      <w:start w:val="1"/>
      <w:numFmt w:val="lowerRoman"/>
      <w:lvlText w:val="%1."/>
      <w:lvlJc w:val="right"/>
      <w:pPr>
        <w:widowControl/>
        <w:ind w:left="4420" w:hanging="420"/>
        <w:textAlignment w:val="baseline"/>
      </w:pPr>
      <w:rPr>
        <w:rStyle w:val="7"/>
      </w:rPr>
    </w:lvl>
  </w:abstractNum>
  <w:abstractNum w:abstractNumId="1">
    <w:nsid w:val="506C672B"/>
    <w:multiLevelType w:val="singleLevel"/>
    <w:tmpl w:val="506C672B"/>
    <w:lvl w:ilvl="0" w:tentative="0">
      <w:start w:val="4"/>
      <w:numFmt w:val="chineseCounting"/>
      <w:suff w:val="nothing"/>
      <w:lvlText w:val="（%1）"/>
      <w:lvlJc w:val="left"/>
      <w:pPr>
        <w:widowControl/>
        <w:textAlignment w:val="baseline"/>
      </w:pPr>
      <w:rPr>
        <w:rStyle w:val="7"/>
      </w:rPr>
    </w:lvl>
  </w:abstractNum>
  <w:abstractNum w:abstractNumId="2">
    <w:nsid w:val="53D25D65"/>
    <w:multiLevelType w:val="multilevel"/>
    <w:tmpl w:val="53D25D65"/>
    <w:lvl w:ilvl="0" w:tentative="0">
      <w:start w:val="1"/>
      <w:numFmt w:val="japaneseCounting"/>
      <w:lvlText w:val="%1、"/>
      <w:lvlJc w:val="left"/>
      <w:pPr>
        <w:widowControl/>
        <w:tabs>
          <w:tab w:val="left" w:pos="1395"/>
        </w:tabs>
        <w:ind w:left="1395" w:hanging="720"/>
        <w:textAlignment w:val="baseline"/>
      </w:pPr>
      <w:rPr>
        <w:rStyle w:val="7"/>
        <w:b/>
      </w:rPr>
    </w:lvl>
    <w:lvl w:ilvl="1" w:tentative="0">
      <w:start w:val="1"/>
      <w:numFmt w:val="lowerLetter"/>
      <w:lvlText w:val="%1)"/>
      <w:lvlJc w:val="left"/>
      <w:pPr>
        <w:widowControl/>
        <w:tabs>
          <w:tab w:val="left" w:pos="1515"/>
        </w:tabs>
        <w:ind w:left="1515" w:hanging="420"/>
        <w:textAlignment w:val="baseline"/>
      </w:pPr>
      <w:rPr>
        <w:rStyle w:val="7"/>
      </w:rPr>
    </w:lvl>
    <w:lvl w:ilvl="2" w:tentative="0">
      <w:start w:val="1"/>
      <w:numFmt w:val="lowerRoman"/>
      <w:lvlText w:val="%1."/>
      <w:lvlJc w:val="right"/>
      <w:pPr>
        <w:widowControl/>
        <w:tabs>
          <w:tab w:val="left" w:pos="1935"/>
        </w:tabs>
        <w:ind w:left="1935" w:hanging="420"/>
        <w:textAlignment w:val="baseline"/>
      </w:pPr>
      <w:rPr>
        <w:rStyle w:val="7"/>
      </w:rPr>
    </w:lvl>
    <w:lvl w:ilvl="3" w:tentative="0">
      <w:start w:val="1"/>
      <w:numFmt w:val="decimal"/>
      <w:lvlText w:val="%1."/>
      <w:lvlJc w:val="left"/>
      <w:pPr>
        <w:widowControl/>
        <w:tabs>
          <w:tab w:val="left" w:pos="2355"/>
        </w:tabs>
        <w:ind w:left="2355" w:hanging="420"/>
        <w:textAlignment w:val="baseline"/>
      </w:pPr>
      <w:rPr>
        <w:rStyle w:val="7"/>
      </w:rPr>
    </w:lvl>
    <w:lvl w:ilvl="4" w:tentative="0">
      <w:start w:val="1"/>
      <w:numFmt w:val="lowerLetter"/>
      <w:lvlText w:val="%1)"/>
      <w:lvlJc w:val="left"/>
      <w:pPr>
        <w:widowControl/>
        <w:tabs>
          <w:tab w:val="left" w:pos="2775"/>
        </w:tabs>
        <w:ind w:left="2775" w:hanging="420"/>
        <w:textAlignment w:val="baseline"/>
      </w:pPr>
      <w:rPr>
        <w:rStyle w:val="7"/>
      </w:rPr>
    </w:lvl>
    <w:lvl w:ilvl="5" w:tentative="0">
      <w:start w:val="1"/>
      <w:numFmt w:val="lowerRoman"/>
      <w:lvlText w:val="%1."/>
      <w:lvlJc w:val="right"/>
      <w:pPr>
        <w:widowControl/>
        <w:tabs>
          <w:tab w:val="left" w:pos="3195"/>
        </w:tabs>
        <w:ind w:left="3195" w:hanging="420"/>
        <w:textAlignment w:val="baseline"/>
      </w:pPr>
      <w:rPr>
        <w:rStyle w:val="7"/>
      </w:rPr>
    </w:lvl>
    <w:lvl w:ilvl="6" w:tentative="0">
      <w:start w:val="1"/>
      <w:numFmt w:val="decimal"/>
      <w:lvlText w:val="%1."/>
      <w:lvlJc w:val="left"/>
      <w:pPr>
        <w:widowControl/>
        <w:tabs>
          <w:tab w:val="left" w:pos="3615"/>
        </w:tabs>
        <w:ind w:left="3615" w:hanging="420"/>
        <w:textAlignment w:val="baseline"/>
      </w:pPr>
      <w:rPr>
        <w:rStyle w:val="7"/>
      </w:rPr>
    </w:lvl>
    <w:lvl w:ilvl="7" w:tentative="0">
      <w:start w:val="1"/>
      <w:numFmt w:val="lowerLetter"/>
      <w:lvlText w:val="%1)"/>
      <w:lvlJc w:val="left"/>
      <w:pPr>
        <w:widowControl/>
        <w:tabs>
          <w:tab w:val="left" w:pos="4035"/>
        </w:tabs>
        <w:ind w:left="4035" w:hanging="420"/>
        <w:textAlignment w:val="baseline"/>
      </w:pPr>
      <w:rPr>
        <w:rStyle w:val="7"/>
      </w:rPr>
    </w:lvl>
    <w:lvl w:ilvl="8" w:tentative="0">
      <w:start w:val="1"/>
      <w:numFmt w:val="lowerRoman"/>
      <w:lvlText w:val="%1."/>
      <w:lvlJc w:val="right"/>
      <w:pPr>
        <w:widowControl/>
        <w:tabs>
          <w:tab w:val="left" w:pos="4455"/>
        </w:tabs>
        <w:ind w:left="4455" w:hanging="420"/>
        <w:textAlignment w:val="baseline"/>
      </w:pPr>
      <w:rPr>
        <w:rStyle w:val="7"/>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TQxMzM2MDBiOWI3M2FmYTUzNWE5ZWFjNDAzMDQ3MDEifQ=="/>
  </w:docVars>
  <w:rsids>
    <w:rsidRoot w:val="00000000"/>
    <w:rsid w:val="25550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basedOn w:val="7"/>
    <w:link w:val="1"/>
    <w:uiPriority w:val="0"/>
    <w:rPr>
      <w:color w:val="0000FF"/>
      <w:u w:val="single"/>
    </w:rPr>
  </w:style>
  <w:style w:type="character" w:customStyle="1" w:styleId="7">
    <w:name w:val="NormalCharacter"/>
    <w:link w:val="1"/>
    <w:semiHidden/>
    <w:uiPriority w:val="0"/>
  </w:style>
  <w:style w:type="table" w:customStyle="1" w:styleId="8">
    <w:name w:val="TableNormal"/>
    <w:semiHidden/>
    <w:uiPriority w:val="0"/>
  </w:style>
  <w:style w:type="paragraph" w:customStyle="1" w:styleId="9">
    <w:name w:val="HtmlNormal"/>
    <w:basedOn w:val="1"/>
    <w:uiPriority w:val="0"/>
    <w:pPr>
      <w:spacing w:before="100" w:beforeAutospacing="1" w:after="100" w:afterAutospacing="1" w:line="600" w:lineRule="exact"/>
      <w:ind w:left="0" w:right="0" w:firstLine="200" w:firstLineChars="200"/>
      <w:jc w:val="left"/>
      <w:textAlignment w:val="baseline"/>
    </w:pPr>
    <w:rPr>
      <w:rFonts w:ascii="Times New Roman" w:hAnsi="Times New Roman" w:eastAsia="仿宋_GB2312"/>
      <w:kern w:val="0"/>
      <w:sz w:val="24"/>
      <w:szCs w:val="22"/>
      <w:lang w:val="en-US" w:eastAsia="zh-CN"/>
    </w:rPr>
  </w:style>
  <w:style w:type="character" w:customStyle="1" w:styleId="10">
    <w:name w:val="PageNumber"/>
    <w:basedOn w:val="7"/>
    <w:link w:val="1"/>
    <w:uiPriority w:val="0"/>
  </w:style>
  <w:style w:type="paragraph" w:customStyle="1" w:styleId="11">
    <w:name w:val="UserStyle_0"/>
    <w:basedOn w:val="1"/>
    <w:uiPriority w:val="0"/>
    <w:pPr>
      <w:jc w:val="both"/>
      <w:textAlignment w:val="baseline"/>
    </w:pPr>
    <w:rPr>
      <w:kern w:val="2"/>
      <w:sz w:val="21"/>
      <w:szCs w:val="20"/>
      <w:lang w:val="en-US" w:eastAsia="zh-CN" w:bidi="ar-SA"/>
    </w:rPr>
  </w:style>
  <w:style w:type="paragraph" w:customStyle="1" w:styleId="12">
    <w:name w:val="UserStyle_1"/>
    <w:basedOn w:val="1"/>
    <w:qFormat/>
    <w:uiPriority w:val="0"/>
    <w:pPr>
      <w:spacing w:line="500" w:lineRule="exact"/>
      <w:ind w:firstLine="200"/>
      <w:jc w:val="both"/>
      <w:textAlignment w:val="baseline"/>
    </w:pPr>
    <w:rPr>
      <w:rFonts w:ascii="Times New Roman" w:hAnsi="Times New Roman"/>
      <w:kern w:val="0"/>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3711</Words>
  <Characters>4141</Characters>
  <TotalTime>0</TotalTime>
  <ScaleCrop>false</ScaleCrop>
  <LinksUpToDate>false</LinksUpToDate>
  <CharactersWithSpaces>4153</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2022-11-09T03:07:02Z</dcterms:created>
  <dc:creator>杨斌</dc:creator>
  <cp:lastModifiedBy>Yangorwit</cp:lastModifiedBy>
  <dcterms:modified xsi:type="dcterms:W3CDTF">2022-11-09T03:07:13Z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7AA2FDBFF4DF4B96BC2D85BA5184339C</vt:lpwstr>
  </property>
</Properties>
</file>